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3087" w14:textId="77777777" w:rsidR="006702E8" w:rsidRPr="00797570" w:rsidRDefault="006702E8" w:rsidP="006702E8">
      <w:pPr>
        <w:spacing w:after="120" w:line="240" w:lineRule="auto"/>
        <w:jc w:val="both"/>
        <w:rPr>
          <w:rFonts w:asciiTheme="majorHAnsi" w:hAnsiTheme="majorHAnsi" w:cs="Times New Roman"/>
          <w:b/>
          <w:bCs/>
          <w:color w:val="000000"/>
          <w:sz w:val="24"/>
          <w:szCs w:val="24"/>
        </w:rPr>
      </w:pPr>
    </w:p>
    <w:p w14:paraId="1D3D4EA3" w14:textId="77777777" w:rsidR="006702E8" w:rsidRPr="00797570" w:rsidRDefault="006702E8" w:rsidP="006702E8">
      <w:pPr>
        <w:spacing w:after="120" w:line="240" w:lineRule="auto"/>
        <w:jc w:val="center"/>
        <w:rPr>
          <w:rFonts w:asciiTheme="majorHAnsi" w:eastAsia="Calibri" w:hAnsiTheme="majorHAnsi" w:cs="Times New Roman"/>
          <w:b/>
          <w:sz w:val="28"/>
          <w:szCs w:val="28"/>
        </w:rPr>
      </w:pPr>
    </w:p>
    <w:p w14:paraId="53FE8168" w14:textId="77777777" w:rsidR="006702E8" w:rsidRPr="00797570" w:rsidRDefault="006702E8" w:rsidP="00284556">
      <w:pPr>
        <w:pBdr>
          <w:bottom w:val="single" w:sz="4" w:space="1" w:color="auto"/>
        </w:pBdr>
        <w:spacing w:after="0"/>
        <w:jc w:val="center"/>
        <w:outlineLvl w:val="0"/>
        <w:rPr>
          <w:rFonts w:asciiTheme="majorHAnsi" w:hAnsiTheme="majorHAnsi"/>
          <w:b/>
          <w:color w:val="1F497D"/>
          <w:sz w:val="36"/>
          <w:szCs w:val="36"/>
        </w:rPr>
      </w:pPr>
      <w:r w:rsidRPr="00797570">
        <w:rPr>
          <w:rFonts w:asciiTheme="majorHAnsi" w:hAnsiTheme="majorHAnsi"/>
          <w:b/>
          <w:color w:val="1F497D"/>
          <w:sz w:val="36"/>
          <w:szCs w:val="36"/>
        </w:rPr>
        <w:t>PIANO DI RAFFORZAMENTO AMMINISTRATIVO (PRA)</w:t>
      </w:r>
    </w:p>
    <w:p w14:paraId="07014752" w14:textId="05591912" w:rsidR="00284556" w:rsidRPr="00797570" w:rsidRDefault="00284556" w:rsidP="005726A5">
      <w:pPr>
        <w:pBdr>
          <w:bottom w:val="single" w:sz="4" w:space="1" w:color="auto"/>
        </w:pBdr>
        <w:jc w:val="center"/>
        <w:outlineLvl w:val="0"/>
        <w:rPr>
          <w:rFonts w:asciiTheme="majorHAnsi" w:hAnsiTheme="majorHAnsi"/>
          <w:b/>
          <w:color w:val="1F497D"/>
          <w:sz w:val="36"/>
          <w:szCs w:val="36"/>
        </w:rPr>
      </w:pPr>
      <w:r w:rsidRPr="00797570">
        <w:rPr>
          <w:rFonts w:asciiTheme="majorHAnsi" w:hAnsiTheme="majorHAnsi"/>
          <w:b/>
          <w:color w:val="1F497D"/>
          <w:sz w:val="36"/>
          <w:szCs w:val="36"/>
        </w:rPr>
        <w:t>DEL</w:t>
      </w:r>
      <w:r w:rsidR="0012006E" w:rsidRPr="00797570">
        <w:rPr>
          <w:rFonts w:asciiTheme="majorHAnsi" w:hAnsiTheme="majorHAnsi"/>
          <w:b/>
          <w:color w:val="1F497D"/>
          <w:sz w:val="36"/>
          <w:szCs w:val="36"/>
        </w:rPr>
        <w:t>LA REGIONE</w:t>
      </w:r>
      <w:r w:rsidR="001717A7" w:rsidRPr="00797570">
        <w:rPr>
          <w:rFonts w:asciiTheme="majorHAnsi" w:hAnsiTheme="majorHAnsi"/>
          <w:b/>
          <w:color w:val="1F497D"/>
          <w:sz w:val="36"/>
          <w:szCs w:val="36"/>
        </w:rPr>
        <w:t xml:space="preserve"> DEL VENETO</w:t>
      </w:r>
    </w:p>
    <w:p w14:paraId="65B75A7B" w14:textId="77777777" w:rsidR="006702E8" w:rsidRPr="00797570" w:rsidRDefault="006702E8" w:rsidP="006702E8">
      <w:pPr>
        <w:rPr>
          <w:rFonts w:asciiTheme="majorHAnsi" w:hAnsiTheme="majorHAnsi"/>
          <w:b/>
          <w:sz w:val="24"/>
          <w:szCs w:val="24"/>
        </w:rPr>
      </w:pPr>
    </w:p>
    <w:p w14:paraId="46170982" w14:textId="508F677B" w:rsidR="00E50FA4" w:rsidRPr="00797570" w:rsidRDefault="00621D2D" w:rsidP="005726A5">
      <w:pPr>
        <w:pBdr>
          <w:top w:val="single" w:sz="4" w:space="1" w:color="auto"/>
          <w:left w:val="single" w:sz="4" w:space="4" w:color="auto"/>
          <w:bottom w:val="single" w:sz="4" w:space="1" w:color="auto"/>
          <w:right w:val="single" w:sz="4" w:space="4" w:color="auto"/>
        </w:pBdr>
        <w:jc w:val="center"/>
        <w:outlineLvl w:val="0"/>
        <w:rPr>
          <w:rFonts w:asciiTheme="majorHAnsi" w:hAnsiTheme="majorHAnsi" w:cs="Times New Roman"/>
          <w:b/>
          <w:color w:val="1F497D"/>
          <w:sz w:val="28"/>
          <w:szCs w:val="28"/>
        </w:rPr>
      </w:pPr>
      <w:r w:rsidRPr="00797570">
        <w:rPr>
          <w:rFonts w:asciiTheme="majorHAnsi" w:hAnsiTheme="majorHAnsi" w:cs="Times New Roman"/>
          <w:b/>
          <w:color w:val="1F497D"/>
          <w:sz w:val="28"/>
          <w:szCs w:val="28"/>
        </w:rPr>
        <w:t xml:space="preserve">Relazione qualitativa al </w:t>
      </w:r>
      <w:r w:rsidR="00B54090" w:rsidRPr="00797570">
        <w:rPr>
          <w:rFonts w:asciiTheme="majorHAnsi" w:hAnsiTheme="majorHAnsi" w:cs="Times New Roman"/>
          <w:b/>
          <w:color w:val="1F497D"/>
          <w:sz w:val="28"/>
          <w:szCs w:val="28"/>
        </w:rPr>
        <w:t>1</w:t>
      </w:r>
      <w:r w:rsidR="006114EA" w:rsidRPr="00797570">
        <w:rPr>
          <w:rFonts w:asciiTheme="majorHAnsi" w:hAnsiTheme="majorHAnsi" w:cs="Times New Roman"/>
          <w:b/>
          <w:color w:val="1F497D"/>
          <w:sz w:val="28"/>
          <w:szCs w:val="28"/>
        </w:rPr>
        <w:t xml:space="preserve">° quadrimestre </w:t>
      </w:r>
      <w:r w:rsidR="00B54090" w:rsidRPr="00797570">
        <w:rPr>
          <w:rFonts w:asciiTheme="majorHAnsi" w:hAnsiTheme="majorHAnsi" w:cs="Times New Roman"/>
          <w:b/>
          <w:color w:val="1F497D"/>
          <w:sz w:val="28"/>
          <w:szCs w:val="28"/>
        </w:rPr>
        <w:t>– dati al 30 aprile 2017</w:t>
      </w:r>
      <w:r w:rsidRPr="00797570">
        <w:rPr>
          <w:rFonts w:asciiTheme="majorHAnsi" w:hAnsiTheme="majorHAnsi" w:cs="Times New Roman"/>
          <w:b/>
          <w:color w:val="1F497D"/>
          <w:sz w:val="28"/>
          <w:szCs w:val="28"/>
        </w:rPr>
        <w:t xml:space="preserve"> </w:t>
      </w:r>
      <w:r w:rsidRPr="00797570">
        <w:rPr>
          <w:rStyle w:val="Rimandonotaapidipagina"/>
          <w:rFonts w:asciiTheme="majorHAnsi" w:hAnsiTheme="majorHAnsi" w:cs="Times New Roman"/>
          <w:b/>
          <w:color w:val="1F497D"/>
          <w:sz w:val="28"/>
          <w:szCs w:val="28"/>
        </w:rPr>
        <w:footnoteReference w:id="1"/>
      </w:r>
    </w:p>
    <w:p w14:paraId="7CD49E7C" w14:textId="77777777" w:rsidR="00A51962" w:rsidRPr="00797570" w:rsidRDefault="00A51962" w:rsidP="006702E8">
      <w:pPr>
        <w:tabs>
          <w:tab w:val="left" w:pos="1883"/>
        </w:tabs>
        <w:spacing w:after="120" w:line="240" w:lineRule="auto"/>
        <w:jc w:val="both"/>
        <w:rPr>
          <w:rFonts w:asciiTheme="majorHAnsi" w:hAnsiTheme="majorHAnsi" w:cs="Times New Roman"/>
          <w:b/>
          <w:sz w:val="24"/>
          <w:szCs w:val="24"/>
        </w:rPr>
      </w:pPr>
    </w:p>
    <w:p w14:paraId="03D0E839" w14:textId="77777777" w:rsidR="00E50FA4" w:rsidRPr="00797570" w:rsidRDefault="00E50FA4" w:rsidP="005726A5">
      <w:pPr>
        <w:tabs>
          <w:tab w:val="left" w:pos="1883"/>
        </w:tabs>
        <w:spacing w:after="120" w:line="240" w:lineRule="auto"/>
        <w:jc w:val="both"/>
        <w:outlineLvl w:val="0"/>
        <w:rPr>
          <w:rFonts w:asciiTheme="majorHAnsi" w:eastAsia="Calibri" w:hAnsiTheme="majorHAnsi" w:cs="Times New Roman"/>
          <w:b/>
          <w:sz w:val="24"/>
          <w:szCs w:val="24"/>
        </w:rPr>
      </w:pPr>
      <w:r w:rsidRPr="00797570">
        <w:rPr>
          <w:rFonts w:asciiTheme="majorHAnsi" w:hAnsiTheme="majorHAnsi" w:cs="Times New Roman"/>
          <w:b/>
          <w:sz w:val="24"/>
          <w:szCs w:val="24"/>
        </w:rPr>
        <w:t>Introduzione</w:t>
      </w:r>
      <w:r w:rsidRPr="00797570">
        <w:rPr>
          <w:rFonts w:asciiTheme="majorHAnsi" w:hAnsiTheme="majorHAnsi" w:cs="Times New Roman"/>
          <w:b/>
          <w:sz w:val="24"/>
          <w:szCs w:val="24"/>
        </w:rPr>
        <w:tab/>
      </w:r>
    </w:p>
    <w:p w14:paraId="15559978" w14:textId="3A692CCC" w:rsidR="00C206EF" w:rsidRPr="00797570" w:rsidRDefault="00C206EF" w:rsidP="00C206EF">
      <w:pPr>
        <w:spacing w:after="0" w:line="240" w:lineRule="auto"/>
        <w:jc w:val="both"/>
        <w:rPr>
          <w:rFonts w:asciiTheme="majorHAnsi" w:eastAsia="Times New Roman" w:hAnsiTheme="majorHAnsi" w:cs="Times New Roman"/>
          <w:sz w:val="24"/>
          <w:szCs w:val="24"/>
        </w:rPr>
      </w:pPr>
      <w:r w:rsidRPr="00797570">
        <w:rPr>
          <w:rFonts w:asciiTheme="majorHAnsi" w:eastAsia="Times New Roman" w:hAnsiTheme="majorHAnsi" w:cs="Times New Roman"/>
          <w:sz w:val="24"/>
          <w:szCs w:val="24"/>
        </w:rPr>
        <w:t>Il presente report dà conto dello stato di avanzamento degli interventi al 30 aprile 2017. Gli interventi sono richiamati utilizzando il numero sequenziale che li identifica in modo univoco nella scheda 1 “Monitoraggio interventi PRA”.</w:t>
      </w:r>
    </w:p>
    <w:p w14:paraId="25A0B173" w14:textId="77777777" w:rsidR="00621D2D" w:rsidRPr="00797570" w:rsidRDefault="00621D2D" w:rsidP="00621D2D">
      <w:pPr>
        <w:spacing w:after="120" w:line="240" w:lineRule="auto"/>
        <w:jc w:val="both"/>
        <w:outlineLvl w:val="0"/>
        <w:rPr>
          <w:rFonts w:asciiTheme="majorHAnsi" w:eastAsia="Calibri" w:hAnsiTheme="majorHAnsi" w:cs="Times New Roman"/>
          <w:b/>
          <w:sz w:val="24"/>
          <w:szCs w:val="24"/>
          <w:u w:val="single"/>
        </w:rPr>
      </w:pPr>
    </w:p>
    <w:p w14:paraId="15746EF6" w14:textId="0B04D4A2" w:rsidR="00B54090" w:rsidRPr="00797570" w:rsidRDefault="00B54090" w:rsidP="00B54090">
      <w:pPr>
        <w:spacing w:after="120" w:line="240" w:lineRule="auto"/>
        <w:jc w:val="both"/>
        <w:outlineLvl w:val="0"/>
        <w:rPr>
          <w:rFonts w:asciiTheme="majorHAnsi" w:eastAsia="Calibri" w:hAnsiTheme="majorHAnsi" w:cs="Times New Roman"/>
          <w:b/>
          <w:sz w:val="24"/>
          <w:szCs w:val="24"/>
          <w:u w:val="single"/>
        </w:rPr>
      </w:pPr>
      <w:r w:rsidRPr="00797570">
        <w:rPr>
          <w:rFonts w:asciiTheme="majorHAnsi" w:eastAsia="Calibri" w:hAnsiTheme="majorHAnsi" w:cs="Times New Roman"/>
          <w:b/>
          <w:sz w:val="24"/>
          <w:szCs w:val="24"/>
          <w:u w:val="single"/>
        </w:rPr>
        <w:t>Sezione 1 – sintesi generale dell’evoluzione complessiva del PRA e dei suoi effetti</w:t>
      </w:r>
    </w:p>
    <w:p w14:paraId="59513499" w14:textId="77777777" w:rsidR="00797570" w:rsidRPr="00797570" w:rsidRDefault="00797570" w:rsidP="00797570">
      <w:pPr>
        <w:spacing w:after="120" w:line="240" w:lineRule="auto"/>
        <w:jc w:val="both"/>
        <w:outlineLvl w:val="0"/>
        <w:rPr>
          <w:rFonts w:asciiTheme="majorHAnsi" w:eastAsia="Calibri" w:hAnsiTheme="majorHAnsi" w:cs="Times New Roman"/>
          <w:sz w:val="24"/>
          <w:szCs w:val="24"/>
        </w:rPr>
      </w:pPr>
      <w:r w:rsidRPr="00797570">
        <w:rPr>
          <w:rFonts w:asciiTheme="majorHAnsi" w:eastAsia="Calibri" w:hAnsiTheme="majorHAnsi" w:cs="Times New Roman"/>
          <w:sz w:val="24"/>
          <w:szCs w:val="24"/>
        </w:rPr>
        <w:t xml:space="preserve">L’attuazione della prima fase del PRA del Veneto volge al suo naturale termine biennale (29.06.2017). </w:t>
      </w:r>
    </w:p>
    <w:p w14:paraId="1CC4B2A2" w14:textId="4E72134E" w:rsidR="00621D2D" w:rsidRPr="00797570" w:rsidRDefault="00A42819" w:rsidP="000173F8">
      <w:pPr>
        <w:autoSpaceDE w:val="0"/>
        <w:autoSpaceDN w:val="0"/>
        <w:adjustRightInd w:val="0"/>
        <w:spacing w:after="120" w:line="240" w:lineRule="auto"/>
        <w:ind w:right="-20"/>
        <w:jc w:val="both"/>
        <w:rPr>
          <w:rFonts w:asciiTheme="majorHAnsi" w:hAnsiTheme="majorHAnsi" w:cs="Times New Roman"/>
          <w:position w:val="1"/>
          <w:sz w:val="24"/>
          <w:szCs w:val="24"/>
        </w:rPr>
      </w:pPr>
      <w:r w:rsidRPr="00797570">
        <w:rPr>
          <w:rFonts w:asciiTheme="majorHAnsi" w:hAnsiTheme="majorHAnsi" w:cs="Times New Roman"/>
          <w:position w:val="1"/>
          <w:sz w:val="24"/>
          <w:szCs w:val="24"/>
        </w:rPr>
        <w:t>Lo stato di avanzamento degli interventi al 30.04.2017 è il seguente:</w:t>
      </w:r>
    </w:p>
    <w:p w14:paraId="742C9514" w14:textId="77777777" w:rsidR="00A42819" w:rsidRPr="00797570" w:rsidRDefault="00A42819" w:rsidP="000173F8">
      <w:pPr>
        <w:spacing w:after="0" w:line="240" w:lineRule="auto"/>
        <w:jc w:val="both"/>
        <w:rPr>
          <w:rFonts w:asciiTheme="majorHAnsi" w:eastAsia="Times New Roman"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787"/>
        <w:gridCol w:w="2461"/>
        <w:gridCol w:w="2576"/>
      </w:tblGrid>
      <w:tr w:rsidR="00932E7D" w:rsidRPr="00797570" w14:paraId="79F46FD7" w14:textId="77777777" w:rsidTr="009D11F6">
        <w:tc>
          <w:tcPr>
            <w:tcW w:w="2030" w:type="dxa"/>
            <w:shd w:val="clear" w:color="auto" w:fill="auto"/>
          </w:tcPr>
          <w:p w14:paraId="6D601154" w14:textId="77777777" w:rsidR="00A42819" w:rsidRPr="00797570" w:rsidRDefault="00A42819" w:rsidP="000173F8">
            <w:pPr>
              <w:spacing w:after="0" w:line="240" w:lineRule="auto"/>
              <w:jc w:val="center"/>
              <w:rPr>
                <w:rFonts w:asciiTheme="majorHAnsi" w:eastAsia="Times New Roman" w:hAnsiTheme="majorHAnsi" w:cs="Arial"/>
                <w:b/>
                <w:sz w:val="24"/>
                <w:szCs w:val="24"/>
              </w:rPr>
            </w:pPr>
            <w:r w:rsidRPr="00797570">
              <w:rPr>
                <w:rFonts w:asciiTheme="majorHAnsi" w:eastAsia="Times New Roman" w:hAnsiTheme="majorHAnsi" w:cs="Arial"/>
                <w:b/>
                <w:sz w:val="24"/>
                <w:szCs w:val="24"/>
              </w:rPr>
              <w:t>Paragrafo PRA</w:t>
            </w:r>
          </w:p>
        </w:tc>
        <w:tc>
          <w:tcPr>
            <w:tcW w:w="2787" w:type="dxa"/>
            <w:shd w:val="clear" w:color="auto" w:fill="auto"/>
          </w:tcPr>
          <w:p w14:paraId="1985C778" w14:textId="77777777" w:rsidR="00A42819" w:rsidRPr="00797570" w:rsidRDefault="00A42819" w:rsidP="000173F8">
            <w:pPr>
              <w:spacing w:after="0" w:line="240" w:lineRule="auto"/>
              <w:jc w:val="center"/>
              <w:rPr>
                <w:rFonts w:asciiTheme="majorHAnsi" w:eastAsia="Times New Roman" w:hAnsiTheme="majorHAnsi" w:cs="Arial"/>
                <w:b/>
                <w:sz w:val="24"/>
                <w:szCs w:val="24"/>
              </w:rPr>
            </w:pPr>
            <w:r w:rsidRPr="00797570">
              <w:rPr>
                <w:rFonts w:asciiTheme="majorHAnsi" w:eastAsia="Times New Roman" w:hAnsiTheme="majorHAnsi" w:cs="Arial"/>
                <w:b/>
                <w:sz w:val="24"/>
                <w:szCs w:val="24"/>
              </w:rPr>
              <w:t>Completati</w:t>
            </w:r>
          </w:p>
          <w:p w14:paraId="3C41F520" w14:textId="77777777" w:rsidR="00A42819" w:rsidRPr="00797570" w:rsidRDefault="00A42819" w:rsidP="000173F8">
            <w:pPr>
              <w:spacing w:after="0" w:line="240" w:lineRule="auto"/>
              <w:jc w:val="center"/>
              <w:rPr>
                <w:rFonts w:asciiTheme="majorHAnsi" w:eastAsia="Times New Roman" w:hAnsiTheme="majorHAnsi" w:cs="Arial"/>
                <w:b/>
                <w:sz w:val="24"/>
                <w:szCs w:val="24"/>
              </w:rPr>
            </w:pPr>
          </w:p>
        </w:tc>
        <w:tc>
          <w:tcPr>
            <w:tcW w:w="2461" w:type="dxa"/>
            <w:shd w:val="clear" w:color="auto" w:fill="auto"/>
          </w:tcPr>
          <w:p w14:paraId="49659EBF" w14:textId="77777777" w:rsidR="00A42819" w:rsidRPr="00797570" w:rsidRDefault="00A42819" w:rsidP="000173F8">
            <w:pPr>
              <w:spacing w:after="0" w:line="240" w:lineRule="auto"/>
              <w:jc w:val="center"/>
              <w:rPr>
                <w:rFonts w:asciiTheme="majorHAnsi" w:eastAsia="Times New Roman" w:hAnsiTheme="majorHAnsi" w:cs="Arial"/>
                <w:b/>
                <w:sz w:val="24"/>
                <w:szCs w:val="24"/>
              </w:rPr>
            </w:pPr>
            <w:r w:rsidRPr="00797570">
              <w:rPr>
                <w:rFonts w:asciiTheme="majorHAnsi" w:eastAsia="Times New Roman" w:hAnsiTheme="majorHAnsi" w:cs="Arial"/>
                <w:b/>
                <w:sz w:val="24"/>
                <w:szCs w:val="24"/>
              </w:rPr>
              <w:t>In fase di implementazione</w:t>
            </w:r>
          </w:p>
          <w:p w14:paraId="5A87E239" w14:textId="77777777" w:rsidR="00A42819" w:rsidRPr="00797570" w:rsidRDefault="00A42819" w:rsidP="000173F8">
            <w:pPr>
              <w:spacing w:after="0" w:line="240" w:lineRule="auto"/>
              <w:jc w:val="center"/>
              <w:rPr>
                <w:rFonts w:asciiTheme="majorHAnsi" w:eastAsia="Times New Roman" w:hAnsiTheme="majorHAnsi" w:cs="Arial"/>
                <w:b/>
                <w:sz w:val="24"/>
                <w:szCs w:val="24"/>
              </w:rPr>
            </w:pPr>
          </w:p>
        </w:tc>
        <w:tc>
          <w:tcPr>
            <w:tcW w:w="2576" w:type="dxa"/>
            <w:shd w:val="clear" w:color="auto" w:fill="auto"/>
          </w:tcPr>
          <w:p w14:paraId="29FE8092" w14:textId="77777777" w:rsidR="00A42819" w:rsidRPr="00797570" w:rsidRDefault="00A42819" w:rsidP="000173F8">
            <w:pPr>
              <w:spacing w:after="0" w:line="240" w:lineRule="auto"/>
              <w:jc w:val="center"/>
              <w:rPr>
                <w:rFonts w:asciiTheme="majorHAnsi" w:eastAsia="Times New Roman" w:hAnsiTheme="majorHAnsi" w:cs="Arial"/>
                <w:b/>
                <w:sz w:val="24"/>
                <w:szCs w:val="24"/>
              </w:rPr>
            </w:pPr>
            <w:r w:rsidRPr="00797570">
              <w:rPr>
                <w:rFonts w:asciiTheme="majorHAnsi" w:eastAsia="Times New Roman" w:hAnsiTheme="majorHAnsi" w:cs="Arial"/>
                <w:b/>
                <w:sz w:val="24"/>
                <w:szCs w:val="24"/>
              </w:rPr>
              <w:t>Percentuale completamento</w:t>
            </w:r>
          </w:p>
          <w:p w14:paraId="23972F0B" w14:textId="77777777" w:rsidR="00A42819" w:rsidRPr="00797570" w:rsidRDefault="00A42819" w:rsidP="000173F8">
            <w:pPr>
              <w:spacing w:after="0" w:line="240" w:lineRule="auto"/>
              <w:jc w:val="center"/>
              <w:rPr>
                <w:rFonts w:asciiTheme="majorHAnsi" w:eastAsia="Times New Roman" w:hAnsiTheme="majorHAnsi" w:cs="Arial"/>
                <w:b/>
                <w:sz w:val="24"/>
                <w:szCs w:val="24"/>
              </w:rPr>
            </w:pPr>
          </w:p>
        </w:tc>
      </w:tr>
      <w:tr w:rsidR="00932E7D" w:rsidRPr="00797570" w14:paraId="1CF78E62" w14:textId="77777777" w:rsidTr="009D11F6">
        <w:tc>
          <w:tcPr>
            <w:tcW w:w="2030" w:type="dxa"/>
            <w:shd w:val="clear" w:color="auto" w:fill="auto"/>
          </w:tcPr>
          <w:p w14:paraId="317389CF" w14:textId="77777777" w:rsidR="00A42819" w:rsidRPr="00797570" w:rsidRDefault="00A42819" w:rsidP="000173F8">
            <w:pPr>
              <w:spacing w:after="0" w:line="240" w:lineRule="auto"/>
              <w:jc w:val="center"/>
              <w:rPr>
                <w:rFonts w:asciiTheme="majorHAnsi" w:eastAsia="Times New Roman" w:hAnsiTheme="majorHAnsi" w:cs="Arial"/>
                <w:b/>
              </w:rPr>
            </w:pPr>
            <w:r w:rsidRPr="00797570">
              <w:rPr>
                <w:rFonts w:asciiTheme="majorHAnsi" w:eastAsia="Times New Roman" w:hAnsiTheme="majorHAnsi" w:cs="Arial"/>
                <w:b/>
              </w:rPr>
              <w:t>6.1</w:t>
            </w:r>
          </w:p>
          <w:p w14:paraId="387AAA09" w14:textId="77777777" w:rsidR="00A42819" w:rsidRPr="00797570" w:rsidRDefault="00A42819" w:rsidP="000173F8">
            <w:pPr>
              <w:spacing w:after="0" w:line="240" w:lineRule="auto"/>
              <w:jc w:val="center"/>
              <w:rPr>
                <w:rFonts w:asciiTheme="majorHAnsi" w:eastAsia="Times New Roman" w:hAnsiTheme="majorHAnsi" w:cs="Arial"/>
                <w:b/>
              </w:rPr>
            </w:pPr>
          </w:p>
        </w:tc>
        <w:tc>
          <w:tcPr>
            <w:tcW w:w="2787" w:type="dxa"/>
            <w:shd w:val="clear" w:color="auto" w:fill="auto"/>
          </w:tcPr>
          <w:p w14:paraId="54D9DAF5" w14:textId="06DB5B34" w:rsidR="00A42819" w:rsidRPr="00797570" w:rsidRDefault="00357245" w:rsidP="000173F8">
            <w:pPr>
              <w:spacing w:after="0" w:line="240" w:lineRule="auto"/>
              <w:jc w:val="center"/>
              <w:rPr>
                <w:rFonts w:asciiTheme="majorHAnsi" w:eastAsia="Times New Roman" w:hAnsiTheme="majorHAnsi" w:cs="Arial"/>
              </w:rPr>
            </w:pPr>
            <w:r>
              <w:rPr>
                <w:rFonts w:asciiTheme="majorHAnsi" w:eastAsia="Times New Roman" w:hAnsiTheme="majorHAnsi" w:cs="Arial"/>
              </w:rPr>
              <w:t>9</w:t>
            </w:r>
          </w:p>
        </w:tc>
        <w:tc>
          <w:tcPr>
            <w:tcW w:w="2461" w:type="dxa"/>
            <w:shd w:val="clear" w:color="auto" w:fill="auto"/>
          </w:tcPr>
          <w:p w14:paraId="44B1D1FA" w14:textId="284680DB" w:rsidR="00A42819" w:rsidRPr="00797570" w:rsidRDefault="00357245" w:rsidP="000173F8">
            <w:pPr>
              <w:spacing w:after="0" w:line="240" w:lineRule="auto"/>
              <w:jc w:val="center"/>
              <w:rPr>
                <w:rFonts w:asciiTheme="majorHAnsi" w:eastAsia="Times New Roman" w:hAnsiTheme="majorHAnsi" w:cs="Arial"/>
              </w:rPr>
            </w:pPr>
            <w:r>
              <w:rPr>
                <w:rFonts w:asciiTheme="majorHAnsi" w:eastAsia="Times New Roman" w:hAnsiTheme="majorHAnsi" w:cs="Arial"/>
              </w:rPr>
              <w:t>1</w:t>
            </w:r>
          </w:p>
        </w:tc>
        <w:tc>
          <w:tcPr>
            <w:tcW w:w="2576" w:type="dxa"/>
            <w:shd w:val="clear" w:color="auto" w:fill="auto"/>
          </w:tcPr>
          <w:p w14:paraId="74D15004" w14:textId="4503A9F9" w:rsidR="00A42819" w:rsidRPr="00797570" w:rsidRDefault="00357245" w:rsidP="000173F8">
            <w:pPr>
              <w:spacing w:after="0" w:line="240" w:lineRule="auto"/>
              <w:jc w:val="center"/>
              <w:rPr>
                <w:rFonts w:asciiTheme="majorHAnsi" w:eastAsia="Times New Roman" w:hAnsiTheme="majorHAnsi" w:cs="Arial"/>
              </w:rPr>
            </w:pPr>
            <w:r>
              <w:rPr>
                <w:rFonts w:asciiTheme="majorHAnsi" w:eastAsia="Times New Roman" w:hAnsiTheme="majorHAnsi" w:cs="Arial"/>
              </w:rPr>
              <w:t>90%</w:t>
            </w:r>
          </w:p>
        </w:tc>
      </w:tr>
      <w:tr w:rsidR="00932E7D" w:rsidRPr="00797570" w14:paraId="734E8E39" w14:textId="77777777" w:rsidTr="009D11F6">
        <w:tc>
          <w:tcPr>
            <w:tcW w:w="2030" w:type="dxa"/>
            <w:shd w:val="clear" w:color="auto" w:fill="auto"/>
          </w:tcPr>
          <w:p w14:paraId="601E12DA" w14:textId="77777777" w:rsidR="00A42819" w:rsidRPr="00797570" w:rsidRDefault="00A42819" w:rsidP="000173F8">
            <w:pPr>
              <w:spacing w:after="0" w:line="240" w:lineRule="auto"/>
              <w:jc w:val="center"/>
              <w:rPr>
                <w:rFonts w:asciiTheme="majorHAnsi" w:eastAsia="Times New Roman" w:hAnsiTheme="majorHAnsi" w:cs="Arial"/>
                <w:b/>
              </w:rPr>
            </w:pPr>
            <w:r w:rsidRPr="00797570">
              <w:rPr>
                <w:rFonts w:asciiTheme="majorHAnsi" w:eastAsia="Times New Roman" w:hAnsiTheme="majorHAnsi" w:cs="Arial"/>
                <w:b/>
              </w:rPr>
              <w:t>6.2</w:t>
            </w:r>
          </w:p>
          <w:p w14:paraId="7CC61972" w14:textId="77777777" w:rsidR="00A42819" w:rsidRPr="00797570" w:rsidRDefault="00A42819" w:rsidP="000173F8">
            <w:pPr>
              <w:spacing w:after="0" w:line="240" w:lineRule="auto"/>
              <w:jc w:val="center"/>
              <w:rPr>
                <w:rFonts w:asciiTheme="majorHAnsi" w:eastAsia="Times New Roman" w:hAnsiTheme="majorHAnsi" w:cs="Arial"/>
                <w:b/>
              </w:rPr>
            </w:pPr>
          </w:p>
        </w:tc>
        <w:tc>
          <w:tcPr>
            <w:tcW w:w="2787" w:type="dxa"/>
            <w:shd w:val="clear" w:color="auto" w:fill="auto"/>
          </w:tcPr>
          <w:p w14:paraId="56CB2BF7" w14:textId="33CA21EC" w:rsidR="00A42819" w:rsidRPr="00797570" w:rsidRDefault="00357245" w:rsidP="000173F8">
            <w:pPr>
              <w:spacing w:after="0" w:line="240" w:lineRule="auto"/>
              <w:jc w:val="center"/>
              <w:rPr>
                <w:rFonts w:asciiTheme="majorHAnsi" w:eastAsia="Times New Roman" w:hAnsiTheme="majorHAnsi" w:cs="Arial"/>
              </w:rPr>
            </w:pPr>
            <w:r>
              <w:rPr>
                <w:rFonts w:asciiTheme="majorHAnsi" w:eastAsia="Times New Roman" w:hAnsiTheme="majorHAnsi" w:cs="Arial"/>
              </w:rPr>
              <w:t>2</w:t>
            </w:r>
          </w:p>
        </w:tc>
        <w:tc>
          <w:tcPr>
            <w:tcW w:w="2461" w:type="dxa"/>
            <w:shd w:val="clear" w:color="auto" w:fill="auto"/>
          </w:tcPr>
          <w:p w14:paraId="4B627ED1" w14:textId="6C841A15" w:rsidR="00A42819" w:rsidRPr="00797570" w:rsidRDefault="00357245" w:rsidP="000173F8">
            <w:pPr>
              <w:spacing w:after="0" w:line="240" w:lineRule="auto"/>
              <w:jc w:val="center"/>
              <w:rPr>
                <w:rFonts w:asciiTheme="majorHAnsi" w:eastAsia="Times New Roman" w:hAnsiTheme="majorHAnsi" w:cs="Arial"/>
              </w:rPr>
            </w:pPr>
            <w:r>
              <w:rPr>
                <w:rFonts w:asciiTheme="majorHAnsi" w:eastAsia="Times New Roman" w:hAnsiTheme="majorHAnsi" w:cs="Arial"/>
              </w:rPr>
              <w:t>1</w:t>
            </w:r>
          </w:p>
        </w:tc>
        <w:tc>
          <w:tcPr>
            <w:tcW w:w="2576" w:type="dxa"/>
            <w:shd w:val="clear" w:color="auto" w:fill="auto"/>
          </w:tcPr>
          <w:p w14:paraId="1CA7FAD5" w14:textId="3F146B43" w:rsidR="00A42819" w:rsidRPr="00797570" w:rsidRDefault="00DC3CB2" w:rsidP="000173F8">
            <w:pPr>
              <w:spacing w:after="0" w:line="240" w:lineRule="auto"/>
              <w:jc w:val="center"/>
              <w:rPr>
                <w:rFonts w:asciiTheme="majorHAnsi" w:eastAsia="Times New Roman" w:hAnsiTheme="majorHAnsi" w:cs="Arial"/>
              </w:rPr>
            </w:pPr>
            <w:r>
              <w:rPr>
                <w:rFonts w:asciiTheme="majorHAnsi" w:eastAsia="Times New Roman" w:hAnsiTheme="majorHAnsi" w:cs="Arial"/>
              </w:rPr>
              <w:t>66</w:t>
            </w:r>
            <w:r w:rsidR="00357245">
              <w:rPr>
                <w:rFonts w:asciiTheme="majorHAnsi" w:eastAsia="Times New Roman" w:hAnsiTheme="majorHAnsi" w:cs="Arial"/>
              </w:rPr>
              <w:t>%</w:t>
            </w:r>
          </w:p>
        </w:tc>
      </w:tr>
      <w:tr w:rsidR="00932E7D" w:rsidRPr="00797570" w14:paraId="54FCE8EB" w14:textId="77777777" w:rsidTr="009D11F6">
        <w:tc>
          <w:tcPr>
            <w:tcW w:w="2030" w:type="dxa"/>
            <w:shd w:val="clear" w:color="auto" w:fill="auto"/>
          </w:tcPr>
          <w:p w14:paraId="27B32089" w14:textId="77777777" w:rsidR="00A42819" w:rsidRPr="00797570" w:rsidRDefault="00A42819" w:rsidP="000173F8">
            <w:pPr>
              <w:spacing w:after="0" w:line="240" w:lineRule="auto"/>
              <w:jc w:val="center"/>
              <w:rPr>
                <w:rFonts w:asciiTheme="majorHAnsi" w:eastAsia="Times New Roman" w:hAnsiTheme="majorHAnsi" w:cs="Arial"/>
                <w:b/>
              </w:rPr>
            </w:pPr>
            <w:r w:rsidRPr="00797570">
              <w:rPr>
                <w:rFonts w:asciiTheme="majorHAnsi" w:eastAsia="Times New Roman" w:hAnsiTheme="majorHAnsi" w:cs="Arial"/>
                <w:b/>
              </w:rPr>
              <w:t>6.3</w:t>
            </w:r>
          </w:p>
          <w:p w14:paraId="1DF3FD1E" w14:textId="77777777" w:rsidR="00A42819" w:rsidRPr="00797570" w:rsidRDefault="00A42819" w:rsidP="000173F8">
            <w:pPr>
              <w:spacing w:after="0" w:line="240" w:lineRule="auto"/>
              <w:jc w:val="center"/>
              <w:rPr>
                <w:rFonts w:asciiTheme="majorHAnsi" w:eastAsia="Times New Roman" w:hAnsiTheme="majorHAnsi" w:cs="Arial"/>
                <w:b/>
              </w:rPr>
            </w:pPr>
          </w:p>
        </w:tc>
        <w:tc>
          <w:tcPr>
            <w:tcW w:w="2787" w:type="dxa"/>
            <w:shd w:val="clear" w:color="auto" w:fill="auto"/>
          </w:tcPr>
          <w:p w14:paraId="3442171B" w14:textId="22E99ACB" w:rsidR="00A42819" w:rsidRPr="00797570" w:rsidRDefault="00357245" w:rsidP="000173F8">
            <w:pPr>
              <w:spacing w:after="0" w:line="240" w:lineRule="auto"/>
              <w:jc w:val="center"/>
              <w:rPr>
                <w:rFonts w:asciiTheme="majorHAnsi" w:eastAsia="Times New Roman" w:hAnsiTheme="majorHAnsi" w:cs="Arial"/>
              </w:rPr>
            </w:pPr>
            <w:r>
              <w:rPr>
                <w:rFonts w:asciiTheme="majorHAnsi" w:eastAsia="Times New Roman" w:hAnsiTheme="majorHAnsi" w:cs="Arial"/>
              </w:rPr>
              <w:t>4</w:t>
            </w:r>
          </w:p>
        </w:tc>
        <w:tc>
          <w:tcPr>
            <w:tcW w:w="2461" w:type="dxa"/>
            <w:shd w:val="clear" w:color="auto" w:fill="auto"/>
          </w:tcPr>
          <w:p w14:paraId="667D2AEB" w14:textId="76E4230D" w:rsidR="00A42819" w:rsidRPr="00797570" w:rsidRDefault="00357245" w:rsidP="000173F8">
            <w:pPr>
              <w:spacing w:after="0" w:line="240" w:lineRule="auto"/>
              <w:jc w:val="center"/>
              <w:rPr>
                <w:rFonts w:asciiTheme="majorHAnsi" w:eastAsia="Times New Roman" w:hAnsiTheme="majorHAnsi" w:cs="Arial"/>
              </w:rPr>
            </w:pPr>
            <w:r>
              <w:rPr>
                <w:rFonts w:asciiTheme="majorHAnsi" w:eastAsia="Times New Roman" w:hAnsiTheme="majorHAnsi" w:cs="Arial"/>
              </w:rPr>
              <w:t>3</w:t>
            </w:r>
          </w:p>
        </w:tc>
        <w:tc>
          <w:tcPr>
            <w:tcW w:w="2576" w:type="dxa"/>
            <w:shd w:val="clear" w:color="auto" w:fill="auto"/>
          </w:tcPr>
          <w:p w14:paraId="6AE4577B" w14:textId="6A4C8552" w:rsidR="00A42819" w:rsidRPr="00797570" w:rsidRDefault="00DC3CB2" w:rsidP="000173F8">
            <w:pPr>
              <w:spacing w:after="0" w:line="240" w:lineRule="auto"/>
              <w:jc w:val="center"/>
              <w:rPr>
                <w:rFonts w:asciiTheme="majorHAnsi" w:eastAsia="Times New Roman" w:hAnsiTheme="majorHAnsi" w:cs="Arial"/>
              </w:rPr>
            </w:pPr>
            <w:r>
              <w:rPr>
                <w:rFonts w:asciiTheme="majorHAnsi" w:eastAsia="Times New Roman" w:hAnsiTheme="majorHAnsi" w:cs="Arial"/>
              </w:rPr>
              <w:t>57%</w:t>
            </w:r>
          </w:p>
        </w:tc>
      </w:tr>
      <w:tr w:rsidR="00797570" w:rsidRPr="00797570" w14:paraId="44216522" w14:textId="77777777" w:rsidTr="009D11F6">
        <w:trPr>
          <w:trHeight w:val="612"/>
        </w:trPr>
        <w:tc>
          <w:tcPr>
            <w:tcW w:w="2030" w:type="dxa"/>
            <w:shd w:val="clear" w:color="auto" w:fill="auto"/>
          </w:tcPr>
          <w:p w14:paraId="0580541E" w14:textId="77777777" w:rsidR="00A42819" w:rsidRPr="00797570" w:rsidRDefault="00A42819" w:rsidP="000173F8">
            <w:pPr>
              <w:spacing w:after="0" w:line="240" w:lineRule="auto"/>
              <w:jc w:val="center"/>
              <w:rPr>
                <w:rFonts w:asciiTheme="majorHAnsi" w:eastAsia="Times New Roman" w:hAnsiTheme="majorHAnsi" w:cs="Arial"/>
                <w:b/>
              </w:rPr>
            </w:pPr>
          </w:p>
          <w:p w14:paraId="2727C716" w14:textId="77777777" w:rsidR="00A42819" w:rsidRPr="00797570" w:rsidRDefault="00A42819" w:rsidP="000173F8">
            <w:pPr>
              <w:spacing w:after="0" w:line="240" w:lineRule="auto"/>
              <w:jc w:val="center"/>
              <w:rPr>
                <w:rFonts w:asciiTheme="majorHAnsi" w:eastAsia="Times New Roman" w:hAnsiTheme="majorHAnsi" w:cs="Arial"/>
                <w:b/>
              </w:rPr>
            </w:pPr>
            <w:r w:rsidRPr="00797570">
              <w:rPr>
                <w:rFonts w:asciiTheme="majorHAnsi" w:eastAsia="Times New Roman" w:hAnsiTheme="majorHAnsi" w:cs="Arial"/>
                <w:b/>
              </w:rPr>
              <w:t>Totale</w:t>
            </w:r>
          </w:p>
        </w:tc>
        <w:tc>
          <w:tcPr>
            <w:tcW w:w="2787" w:type="dxa"/>
            <w:shd w:val="clear" w:color="auto" w:fill="auto"/>
          </w:tcPr>
          <w:p w14:paraId="67F5F681" w14:textId="77777777" w:rsidR="00357245" w:rsidRDefault="00357245" w:rsidP="000173F8">
            <w:pPr>
              <w:spacing w:after="0" w:line="240" w:lineRule="auto"/>
              <w:jc w:val="center"/>
              <w:rPr>
                <w:rFonts w:asciiTheme="majorHAnsi" w:eastAsia="Times New Roman" w:hAnsiTheme="majorHAnsi" w:cs="Arial"/>
                <w:sz w:val="24"/>
                <w:szCs w:val="24"/>
              </w:rPr>
            </w:pPr>
          </w:p>
          <w:p w14:paraId="3C0D55B5" w14:textId="2921AA9A" w:rsidR="00A42819" w:rsidRPr="00797570" w:rsidRDefault="00357245" w:rsidP="000173F8">
            <w:pPr>
              <w:spacing w:after="0" w:line="240" w:lineRule="auto"/>
              <w:jc w:val="center"/>
              <w:rPr>
                <w:rFonts w:asciiTheme="majorHAnsi" w:eastAsia="Times New Roman" w:hAnsiTheme="majorHAnsi" w:cs="Arial"/>
                <w:sz w:val="24"/>
                <w:szCs w:val="24"/>
              </w:rPr>
            </w:pPr>
            <w:r>
              <w:rPr>
                <w:rFonts w:asciiTheme="majorHAnsi" w:eastAsia="Times New Roman" w:hAnsiTheme="majorHAnsi" w:cs="Arial"/>
                <w:sz w:val="24"/>
                <w:szCs w:val="24"/>
              </w:rPr>
              <w:t>15</w:t>
            </w:r>
          </w:p>
          <w:p w14:paraId="669DDBDD" w14:textId="131CE4FB" w:rsidR="00A42819" w:rsidRPr="00797570" w:rsidRDefault="00A42819" w:rsidP="000173F8">
            <w:pPr>
              <w:spacing w:after="0" w:line="240" w:lineRule="auto"/>
              <w:jc w:val="center"/>
              <w:rPr>
                <w:rFonts w:asciiTheme="majorHAnsi" w:eastAsia="Times New Roman" w:hAnsiTheme="majorHAnsi" w:cs="Arial"/>
                <w:sz w:val="24"/>
                <w:szCs w:val="24"/>
              </w:rPr>
            </w:pPr>
          </w:p>
        </w:tc>
        <w:tc>
          <w:tcPr>
            <w:tcW w:w="2461" w:type="dxa"/>
            <w:shd w:val="clear" w:color="auto" w:fill="auto"/>
          </w:tcPr>
          <w:p w14:paraId="61FEAB92" w14:textId="77777777" w:rsidR="00357245" w:rsidRDefault="00357245" w:rsidP="000173F8">
            <w:pPr>
              <w:spacing w:after="0" w:line="240" w:lineRule="auto"/>
              <w:jc w:val="center"/>
              <w:rPr>
                <w:rFonts w:asciiTheme="majorHAnsi" w:eastAsia="Times New Roman" w:hAnsiTheme="majorHAnsi" w:cs="Arial"/>
                <w:sz w:val="24"/>
                <w:szCs w:val="24"/>
              </w:rPr>
            </w:pPr>
          </w:p>
          <w:p w14:paraId="5108A8B1" w14:textId="0B9A999C" w:rsidR="00A42819" w:rsidRPr="00797570" w:rsidRDefault="00357245" w:rsidP="000173F8">
            <w:pPr>
              <w:spacing w:after="0" w:line="240" w:lineRule="auto"/>
              <w:jc w:val="center"/>
              <w:rPr>
                <w:rFonts w:asciiTheme="majorHAnsi" w:eastAsia="Times New Roman" w:hAnsiTheme="majorHAnsi" w:cs="Arial"/>
                <w:sz w:val="24"/>
                <w:szCs w:val="24"/>
              </w:rPr>
            </w:pPr>
            <w:r>
              <w:rPr>
                <w:rFonts w:asciiTheme="majorHAnsi" w:eastAsia="Times New Roman" w:hAnsiTheme="majorHAnsi" w:cs="Arial"/>
                <w:sz w:val="24"/>
                <w:szCs w:val="24"/>
              </w:rPr>
              <w:t>5</w:t>
            </w:r>
          </w:p>
          <w:p w14:paraId="543C6E5C" w14:textId="074A091E" w:rsidR="00A42819" w:rsidRPr="00797570" w:rsidRDefault="00A42819" w:rsidP="000173F8">
            <w:pPr>
              <w:spacing w:after="0" w:line="240" w:lineRule="auto"/>
              <w:jc w:val="center"/>
              <w:rPr>
                <w:rFonts w:asciiTheme="majorHAnsi" w:eastAsia="Times New Roman" w:hAnsiTheme="majorHAnsi" w:cs="Arial"/>
                <w:sz w:val="24"/>
                <w:szCs w:val="24"/>
              </w:rPr>
            </w:pPr>
          </w:p>
        </w:tc>
        <w:tc>
          <w:tcPr>
            <w:tcW w:w="2576" w:type="dxa"/>
            <w:shd w:val="clear" w:color="auto" w:fill="auto"/>
          </w:tcPr>
          <w:p w14:paraId="0208F1C9" w14:textId="77777777" w:rsidR="00A42819" w:rsidRDefault="00A42819" w:rsidP="000173F8">
            <w:pPr>
              <w:spacing w:after="0" w:line="240" w:lineRule="auto"/>
              <w:jc w:val="center"/>
              <w:rPr>
                <w:rFonts w:asciiTheme="majorHAnsi" w:eastAsia="Times New Roman" w:hAnsiTheme="majorHAnsi" w:cs="Arial"/>
                <w:sz w:val="24"/>
                <w:szCs w:val="24"/>
              </w:rPr>
            </w:pPr>
          </w:p>
          <w:p w14:paraId="39D53A11" w14:textId="41EADDD1" w:rsidR="00357245" w:rsidRPr="00797570" w:rsidRDefault="00DC3CB2" w:rsidP="000173F8">
            <w:pPr>
              <w:spacing w:after="0" w:line="240" w:lineRule="auto"/>
              <w:jc w:val="center"/>
              <w:rPr>
                <w:rFonts w:asciiTheme="majorHAnsi" w:eastAsia="Times New Roman" w:hAnsiTheme="majorHAnsi" w:cs="Arial"/>
                <w:sz w:val="24"/>
                <w:szCs w:val="24"/>
              </w:rPr>
            </w:pPr>
            <w:r>
              <w:rPr>
                <w:rFonts w:asciiTheme="majorHAnsi" w:eastAsia="Times New Roman" w:hAnsiTheme="majorHAnsi" w:cs="Arial"/>
                <w:sz w:val="24"/>
                <w:szCs w:val="24"/>
              </w:rPr>
              <w:t>75%</w:t>
            </w:r>
          </w:p>
        </w:tc>
      </w:tr>
    </w:tbl>
    <w:p w14:paraId="5B497C10" w14:textId="77777777" w:rsidR="00797570" w:rsidRPr="00797570" w:rsidRDefault="00797570" w:rsidP="000173F8">
      <w:pPr>
        <w:autoSpaceDE w:val="0"/>
        <w:autoSpaceDN w:val="0"/>
        <w:adjustRightInd w:val="0"/>
        <w:spacing w:after="120" w:line="240" w:lineRule="auto"/>
        <w:ind w:right="-20"/>
        <w:jc w:val="both"/>
        <w:rPr>
          <w:rFonts w:asciiTheme="majorHAnsi" w:hAnsiTheme="majorHAnsi" w:cs="Times New Roman"/>
          <w:position w:val="1"/>
          <w:sz w:val="24"/>
          <w:szCs w:val="24"/>
        </w:rPr>
      </w:pPr>
    </w:p>
    <w:p w14:paraId="60E6FC2B" w14:textId="69F5082F" w:rsidR="00B13463" w:rsidRPr="00797570" w:rsidRDefault="00A42819" w:rsidP="000173F8">
      <w:pPr>
        <w:spacing w:after="0" w:line="240" w:lineRule="auto"/>
        <w:jc w:val="both"/>
        <w:rPr>
          <w:rFonts w:asciiTheme="majorHAnsi" w:eastAsia="Times New Roman" w:hAnsiTheme="majorHAnsi" w:cs="Times New Roman"/>
          <w:b/>
          <w:sz w:val="24"/>
          <w:szCs w:val="24"/>
        </w:rPr>
      </w:pPr>
      <w:r w:rsidRPr="00797570">
        <w:rPr>
          <w:rFonts w:asciiTheme="majorHAnsi" w:hAnsiTheme="majorHAnsi" w:cs="Times New Roman"/>
          <w:position w:val="1"/>
          <w:sz w:val="24"/>
          <w:szCs w:val="24"/>
        </w:rPr>
        <w:t>Rispetto al monitoraggio al 31.12.2016</w:t>
      </w:r>
      <w:r w:rsidR="00797570">
        <w:rPr>
          <w:rFonts w:asciiTheme="majorHAnsi" w:hAnsiTheme="majorHAnsi" w:cs="Times New Roman"/>
          <w:position w:val="1"/>
          <w:sz w:val="24"/>
          <w:szCs w:val="24"/>
        </w:rPr>
        <w:t>,</w:t>
      </w:r>
      <w:r w:rsidRPr="00797570">
        <w:rPr>
          <w:rFonts w:asciiTheme="majorHAnsi" w:hAnsiTheme="majorHAnsi" w:cs="Times New Roman"/>
          <w:position w:val="1"/>
          <w:sz w:val="24"/>
          <w:szCs w:val="24"/>
        </w:rPr>
        <w:t xml:space="preserve"> sono stati</w:t>
      </w:r>
      <w:r w:rsidR="00A72648" w:rsidRPr="00797570">
        <w:rPr>
          <w:rFonts w:asciiTheme="majorHAnsi" w:hAnsiTheme="majorHAnsi" w:cs="Times New Roman"/>
          <w:position w:val="1"/>
          <w:sz w:val="24"/>
          <w:szCs w:val="24"/>
        </w:rPr>
        <w:t xml:space="preserve"> comp</w:t>
      </w:r>
      <w:r w:rsidR="00CB0E02">
        <w:rPr>
          <w:rFonts w:asciiTheme="majorHAnsi" w:hAnsiTheme="majorHAnsi" w:cs="Times New Roman"/>
          <w:position w:val="1"/>
          <w:sz w:val="24"/>
          <w:szCs w:val="24"/>
        </w:rPr>
        <w:t xml:space="preserve">letati gli interventi </w:t>
      </w:r>
      <w:proofErr w:type="spellStart"/>
      <w:r w:rsidR="00CB0E02">
        <w:rPr>
          <w:rFonts w:asciiTheme="majorHAnsi" w:hAnsiTheme="majorHAnsi" w:cs="Times New Roman"/>
          <w:position w:val="1"/>
          <w:sz w:val="24"/>
          <w:szCs w:val="24"/>
        </w:rPr>
        <w:t>nn</w:t>
      </w:r>
      <w:proofErr w:type="spellEnd"/>
      <w:r w:rsidR="00CB0E02">
        <w:rPr>
          <w:rFonts w:asciiTheme="majorHAnsi" w:hAnsiTheme="majorHAnsi" w:cs="Times New Roman"/>
          <w:position w:val="1"/>
          <w:sz w:val="24"/>
          <w:szCs w:val="24"/>
        </w:rPr>
        <w:t>. 9, 12,</w:t>
      </w:r>
      <w:r w:rsidR="00A72648" w:rsidRPr="00797570">
        <w:rPr>
          <w:rFonts w:asciiTheme="majorHAnsi" w:hAnsiTheme="majorHAnsi" w:cs="Times New Roman"/>
          <w:position w:val="1"/>
          <w:sz w:val="24"/>
          <w:szCs w:val="24"/>
        </w:rPr>
        <w:t xml:space="preserve"> 15</w:t>
      </w:r>
      <w:r w:rsidR="00CB0E02">
        <w:rPr>
          <w:rFonts w:asciiTheme="majorHAnsi" w:hAnsiTheme="majorHAnsi" w:cs="Times New Roman"/>
          <w:position w:val="1"/>
          <w:sz w:val="24"/>
          <w:szCs w:val="24"/>
        </w:rPr>
        <w:t xml:space="preserve"> e 19</w:t>
      </w:r>
      <w:r w:rsidRPr="00797570">
        <w:rPr>
          <w:rFonts w:asciiTheme="majorHAnsi" w:hAnsiTheme="majorHAnsi" w:cs="Times New Roman"/>
          <w:position w:val="1"/>
          <w:sz w:val="24"/>
          <w:szCs w:val="24"/>
        </w:rPr>
        <w:t>.</w:t>
      </w:r>
      <w:r w:rsidR="00B13463" w:rsidRPr="00797570">
        <w:rPr>
          <w:rFonts w:asciiTheme="majorHAnsi" w:eastAsia="Times New Roman" w:hAnsiTheme="majorHAnsi" w:cs="Times New Roman"/>
          <w:b/>
          <w:sz w:val="24"/>
          <w:szCs w:val="24"/>
        </w:rPr>
        <w:t xml:space="preserve"> </w:t>
      </w:r>
    </w:p>
    <w:p w14:paraId="07AADF66" w14:textId="77777777" w:rsidR="00797570" w:rsidRDefault="00797570" w:rsidP="00797570">
      <w:pPr>
        <w:autoSpaceDE w:val="0"/>
        <w:autoSpaceDN w:val="0"/>
        <w:adjustRightInd w:val="0"/>
        <w:spacing w:after="120" w:line="240" w:lineRule="auto"/>
        <w:ind w:right="-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Tutti </w:t>
      </w:r>
      <w:r w:rsidR="00B13463" w:rsidRPr="00797570">
        <w:rPr>
          <w:rFonts w:asciiTheme="majorHAnsi" w:eastAsia="Times New Roman" w:hAnsiTheme="majorHAnsi" w:cs="Times New Roman"/>
          <w:sz w:val="24"/>
          <w:szCs w:val="24"/>
        </w:rPr>
        <w:t>i</w:t>
      </w:r>
      <w:r>
        <w:rPr>
          <w:rFonts w:asciiTheme="majorHAnsi" w:eastAsia="Times New Roman" w:hAnsiTheme="majorHAnsi" w:cs="Times New Roman"/>
          <w:sz w:val="24"/>
          <w:szCs w:val="24"/>
        </w:rPr>
        <w:t xml:space="preserve"> 20</w:t>
      </w:r>
      <w:r w:rsidR="00B13463" w:rsidRPr="00797570">
        <w:rPr>
          <w:rFonts w:asciiTheme="majorHAnsi" w:eastAsia="Times New Roman" w:hAnsiTheme="majorHAnsi" w:cs="Times New Roman"/>
          <w:sz w:val="24"/>
          <w:szCs w:val="24"/>
        </w:rPr>
        <w:t xml:space="preserve"> interventi previsti nel PRA del Veneto sono stati attivati. </w:t>
      </w:r>
    </w:p>
    <w:p w14:paraId="631C2091" w14:textId="2AF33D72" w:rsidR="00797570" w:rsidRPr="00797570" w:rsidRDefault="00B13463" w:rsidP="00797570">
      <w:pPr>
        <w:autoSpaceDE w:val="0"/>
        <w:autoSpaceDN w:val="0"/>
        <w:adjustRightInd w:val="0"/>
        <w:spacing w:after="120" w:line="240" w:lineRule="auto"/>
        <w:ind w:right="-20"/>
        <w:jc w:val="both"/>
        <w:rPr>
          <w:rFonts w:asciiTheme="majorHAnsi" w:eastAsia="Times New Roman" w:hAnsiTheme="majorHAnsi" w:cs="Times New Roman"/>
          <w:sz w:val="24"/>
          <w:szCs w:val="24"/>
        </w:rPr>
      </w:pPr>
      <w:r w:rsidRPr="00797570">
        <w:rPr>
          <w:rFonts w:asciiTheme="majorHAnsi" w:eastAsia="Times New Roman" w:hAnsiTheme="majorHAnsi" w:cs="Times New Roman"/>
          <w:sz w:val="24"/>
          <w:szCs w:val="24"/>
        </w:rPr>
        <w:t xml:space="preserve">Al 30 aprile risultano in fase di </w:t>
      </w:r>
      <w:r w:rsidR="00543F91" w:rsidRPr="00797570">
        <w:rPr>
          <w:rFonts w:asciiTheme="majorHAnsi" w:eastAsia="Times New Roman" w:hAnsiTheme="majorHAnsi" w:cs="Times New Roman"/>
          <w:sz w:val="24"/>
          <w:szCs w:val="24"/>
        </w:rPr>
        <w:t xml:space="preserve">implementazione </w:t>
      </w:r>
      <w:r w:rsidR="00797570">
        <w:rPr>
          <w:rFonts w:asciiTheme="majorHAnsi" w:eastAsia="Times New Roman" w:hAnsiTheme="majorHAnsi" w:cs="Times New Roman"/>
          <w:sz w:val="24"/>
          <w:szCs w:val="24"/>
        </w:rPr>
        <w:t xml:space="preserve">il </w:t>
      </w:r>
      <w:r w:rsidR="00DC3CB2">
        <w:rPr>
          <w:rFonts w:asciiTheme="majorHAnsi" w:eastAsia="Times New Roman" w:hAnsiTheme="majorHAnsi" w:cs="Times New Roman"/>
          <w:sz w:val="24"/>
          <w:szCs w:val="24"/>
        </w:rPr>
        <w:t>15</w:t>
      </w:r>
      <w:r w:rsidR="00797570">
        <w:rPr>
          <w:rFonts w:asciiTheme="majorHAnsi" w:eastAsia="Times New Roman" w:hAnsiTheme="majorHAnsi" w:cs="Times New Roman"/>
          <w:sz w:val="24"/>
          <w:szCs w:val="24"/>
        </w:rPr>
        <w:t>% degli interventi, mentre i</w:t>
      </w:r>
      <w:r w:rsidR="00797570">
        <w:rPr>
          <w:rFonts w:asciiTheme="majorHAnsi" w:hAnsiTheme="majorHAnsi" w:cs="Times New Roman"/>
          <w:position w:val="1"/>
          <w:sz w:val="24"/>
          <w:szCs w:val="24"/>
        </w:rPr>
        <w:t xml:space="preserve">l  </w:t>
      </w:r>
      <w:r w:rsidR="00DC3CB2">
        <w:rPr>
          <w:rFonts w:asciiTheme="majorHAnsi" w:hAnsiTheme="majorHAnsi" w:cs="Times New Roman"/>
          <w:position w:val="1"/>
          <w:sz w:val="24"/>
          <w:szCs w:val="24"/>
        </w:rPr>
        <w:t>75</w:t>
      </w:r>
      <w:r w:rsidR="00797570">
        <w:rPr>
          <w:rFonts w:asciiTheme="majorHAnsi" w:hAnsiTheme="majorHAnsi" w:cs="Times New Roman"/>
          <w:position w:val="1"/>
          <w:sz w:val="24"/>
          <w:szCs w:val="24"/>
        </w:rPr>
        <w:t>% risult</w:t>
      </w:r>
      <w:r w:rsidR="00797570" w:rsidRPr="00797570">
        <w:rPr>
          <w:rFonts w:asciiTheme="majorHAnsi" w:hAnsiTheme="majorHAnsi" w:cs="Times New Roman"/>
          <w:position w:val="1"/>
          <w:sz w:val="24"/>
          <w:szCs w:val="24"/>
        </w:rPr>
        <w:t>a completato.</w:t>
      </w:r>
    </w:p>
    <w:p w14:paraId="4A1856DA" w14:textId="2C08F97E" w:rsidR="00797570" w:rsidRDefault="00947F46" w:rsidP="000173F8">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Anche se le date che erano state previste per il completamento degli interventi risultano superate</w:t>
      </w:r>
      <w:r w:rsidR="00797570">
        <w:rPr>
          <w:rFonts w:asciiTheme="majorHAnsi" w:eastAsia="Times New Roman" w:hAnsiTheme="majorHAnsi" w:cs="Times New Roman"/>
          <w:sz w:val="24"/>
          <w:szCs w:val="24"/>
        </w:rPr>
        <w:t xml:space="preserve">, in alcuni casi </w:t>
      </w:r>
      <w:r>
        <w:rPr>
          <w:rFonts w:asciiTheme="majorHAnsi" w:eastAsia="Times New Roman" w:hAnsiTheme="majorHAnsi" w:cs="Times New Roman"/>
          <w:sz w:val="24"/>
          <w:szCs w:val="24"/>
        </w:rPr>
        <w:t xml:space="preserve">si tratta </w:t>
      </w:r>
      <w:r w:rsidR="00797570">
        <w:rPr>
          <w:rFonts w:asciiTheme="majorHAnsi" w:eastAsia="Times New Roman" w:hAnsiTheme="majorHAnsi" w:cs="Times New Roman"/>
          <w:sz w:val="24"/>
          <w:szCs w:val="24"/>
        </w:rPr>
        <w:t>di un ritardo lieve</w:t>
      </w:r>
      <w:r>
        <w:rPr>
          <w:rFonts w:asciiTheme="majorHAnsi" w:eastAsia="Times New Roman" w:hAnsiTheme="majorHAnsi" w:cs="Times New Roman"/>
          <w:sz w:val="24"/>
          <w:szCs w:val="24"/>
        </w:rPr>
        <w:t xml:space="preserve"> e</w:t>
      </w:r>
      <w:bookmarkStart w:id="0" w:name="_GoBack"/>
      <w:bookmarkEnd w:id="0"/>
      <w:r>
        <w:rPr>
          <w:rFonts w:asciiTheme="majorHAnsi" w:eastAsia="Times New Roman" w:hAnsiTheme="majorHAnsi" w:cs="Times New Roman"/>
          <w:sz w:val="24"/>
          <w:szCs w:val="24"/>
        </w:rPr>
        <w:t>, d</w:t>
      </w:r>
      <w:r w:rsidR="00797570">
        <w:rPr>
          <w:rFonts w:asciiTheme="majorHAnsi" w:eastAsia="Times New Roman" w:hAnsiTheme="majorHAnsi" w:cs="Times New Roman"/>
          <w:sz w:val="24"/>
          <w:szCs w:val="24"/>
        </w:rPr>
        <w:t>i fatto, in diversi casi l’intervento è in fase di completamento finale (intervento n. 2, 14, 17, 18)</w:t>
      </w:r>
      <w:r w:rsidR="00543F91" w:rsidRPr="00797570">
        <w:rPr>
          <w:rFonts w:asciiTheme="majorHAnsi" w:eastAsia="Times New Roman" w:hAnsiTheme="majorHAnsi" w:cs="Times New Roman"/>
          <w:sz w:val="24"/>
          <w:szCs w:val="24"/>
        </w:rPr>
        <w:t xml:space="preserve">. </w:t>
      </w:r>
    </w:p>
    <w:p w14:paraId="3FBA7F26" w14:textId="77777777" w:rsidR="00DC3CB2" w:rsidRDefault="00DC3CB2" w:rsidP="00DC3CB2">
      <w:pPr>
        <w:spacing w:after="0" w:line="240" w:lineRule="auto"/>
        <w:jc w:val="both"/>
        <w:rPr>
          <w:rFonts w:asciiTheme="majorHAnsi" w:eastAsia="Times New Roman" w:hAnsiTheme="majorHAnsi" w:cs="Times New Roman"/>
          <w:sz w:val="24"/>
          <w:szCs w:val="24"/>
        </w:rPr>
      </w:pPr>
    </w:p>
    <w:p w14:paraId="70ACB2D6" w14:textId="77777777" w:rsidR="00DC3CB2" w:rsidRDefault="00DC3CB2" w:rsidP="00DC3CB2">
      <w:pPr>
        <w:spacing w:after="0" w:line="240" w:lineRule="auto"/>
        <w:jc w:val="both"/>
        <w:rPr>
          <w:rFonts w:asciiTheme="majorHAnsi" w:eastAsia="Times New Roman" w:hAnsiTheme="majorHAnsi" w:cs="Times New Roman"/>
          <w:sz w:val="24"/>
          <w:szCs w:val="24"/>
        </w:rPr>
      </w:pPr>
    </w:p>
    <w:p w14:paraId="2C55BA5F" w14:textId="77777777" w:rsidR="00DC3CB2" w:rsidRDefault="00DC3CB2" w:rsidP="00DC3CB2">
      <w:pPr>
        <w:spacing w:after="0" w:line="240" w:lineRule="auto"/>
        <w:jc w:val="both"/>
        <w:rPr>
          <w:rFonts w:asciiTheme="majorHAnsi" w:eastAsia="Times New Roman" w:hAnsiTheme="majorHAnsi" w:cs="Times New Roman"/>
          <w:sz w:val="24"/>
          <w:szCs w:val="24"/>
        </w:rPr>
      </w:pPr>
    </w:p>
    <w:p w14:paraId="6FDBA773" w14:textId="77777777" w:rsidR="00DC3CB2" w:rsidRDefault="00DC3CB2" w:rsidP="00DC3CB2">
      <w:pPr>
        <w:spacing w:after="0" w:line="240" w:lineRule="auto"/>
        <w:jc w:val="both"/>
        <w:rPr>
          <w:rFonts w:asciiTheme="majorHAnsi" w:eastAsia="Times New Roman" w:hAnsiTheme="majorHAnsi" w:cs="Times New Roman"/>
          <w:sz w:val="24"/>
          <w:szCs w:val="24"/>
        </w:rPr>
      </w:pPr>
    </w:p>
    <w:p w14:paraId="58B3D7EB" w14:textId="77777777" w:rsidR="00DC3CB2" w:rsidRDefault="00DC3CB2" w:rsidP="00DC3CB2">
      <w:pPr>
        <w:spacing w:after="0" w:line="240" w:lineRule="auto"/>
        <w:jc w:val="both"/>
        <w:rPr>
          <w:rFonts w:asciiTheme="majorHAnsi" w:eastAsia="Times New Roman" w:hAnsiTheme="majorHAnsi" w:cs="Times New Roman"/>
          <w:sz w:val="24"/>
          <w:szCs w:val="24"/>
        </w:rPr>
      </w:pPr>
    </w:p>
    <w:p w14:paraId="11C39DDC" w14:textId="77777777" w:rsidR="00DC3CB2" w:rsidRDefault="00543F91" w:rsidP="00DC3CB2">
      <w:pPr>
        <w:spacing w:after="0" w:line="240" w:lineRule="auto"/>
        <w:jc w:val="both"/>
        <w:rPr>
          <w:rFonts w:asciiTheme="majorHAnsi" w:eastAsia="Times New Roman" w:hAnsiTheme="majorHAnsi" w:cs="Times New Roman"/>
          <w:sz w:val="24"/>
          <w:szCs w:val="24"/>
        </w:rPr>
      </w:pPr>
      <w:r w:rsidRPr="00797570">
        <w:rPr>
          <w:rFonts w:asciiTheme="majorHAnsi" w:eastAsia="Times New Roman" w:hAnsiTheme="majorHAnsi" w:cs="Times New Roman"/>
          <w:sz w:val="24"/>
          <w:szCs w:val="24"/>
        </w:rPr>
        <w:t>L</w:t>
      </w:r>
      <w:r w:rsidR="00B13463" w:rsidRPr="00797570">
        <w:rPr>
          <w:rFonts w:asciiTheme="majorHAnsi" w:eastAsia="Times New Roman" w:hAnsiTheme="majorHAnsi" w:cs="Times New Roman"/>
          <w:sz w:val="24"/>
          <w:szCs w:val="24"/>
        </w:rPr>
        <w:t>a data di completamento era stata stimata in fase di stesura del PRA (2014-2015)</w:t>
      </w:r>
      <w:r w:rsidRPr="00797570">
        <w:rPr>
          <w:rFonts w:asciiTheme="majorHAnsi" w:eastAsia="Times New Roman" w:hAnsiTheme="majorHAnsi" w:cs="Times New Roman"/>
          <w:sz w:val="24"/>
          <w:szCs w:val="24"/>
        </w:rPr>
        <w:t xml:space="preserve">, ma nella fase attuativa gli interventi hanno risentito di </w:t>
      </w:r>
      <w:r w:rsidR="00A72648" w:rsidRPr="00797570">
        <w:rPr>
          <w:rFonts w:asciiTheme="majorHAnsi" w:eastAsia="Times New Roman" w:hAnsiTheme="majorHAnsi" w:cs="Times New Roman"/>
          <w:sz w:val="24"/>
          <w:szCs w:val="24"/>
        </w:rPr>
        <w:t xml:space="preserve">alcune </w:t>
      </w:r>
      <w:r w:rsidRPr="00797570">
        <w:rPr>
          <w:rFonts w:asciiTheme="majorHAnsi" w:eastAsia="Times New Roman" w:hAnsiTheme="majorHAnsi" w:cs="Times New Roman"/>
          <w:sz w:val="24"/>
          <w:szCs w:val="24"/>
        </w:rPr>
        <w:t>criticità</w:t>
      </w:r>
      <w:r w:rsidR="00A72648" w:rsidRPr="00797570">
        <w:rPr>
          <w:rFonts w:asciiTheme="majorHAnsi" w:eastAsia="Times New Roman" w:hAnsiTheme="majorHAnsi" w:cs="Times New Roman"/>
          <w:sz w:val="24"/>
          <w:szCs w:val="24"/>
        </w:rPr>
        <w:t>, di seguito riepilogate</w:t>
      </w:r>
      <w:r w:rsidR="000428A7">
        <w:rPr>
          <w:rFonts w:asciiTheme="majorHAnsi" w:eastAsia="Times New Roman" w:hAnsiTheme="majorHAnsi" w:cs="Times New Roman"/>
          <w:sz w:val="24"/>
          <w:szCs w:val="24"/>
        </w:rPr>
        <w:t>:</w:t>
      </w:r>
      <w:r w:rsidRPr="00797570">
        <w:rPr>
          <w:rFonts w:asciiTheme="majorHAnsi" w:eastAsia="Times New Roman" w:hAnsiTheme="majorHAnsi" w:cs="Times New Roman"/>
          <w:sz w:val="24"/>
          <w:szCs w:val="24"/>
        </w:rPr>
        <w:t xml:space="preserve"> </w:t>
      </w:r>
    </w:p>
    <w:p w14:paraId="12A23502" w14:textId="77777777" w:rsidR="00DC3CB2" w:rsidRPr="00DC3CB2" w:rsidRDefault="000428A7" w:rsidP="00DC3CB2">
      <w:pPr>
        <w:pStyle w:val="Paragrafoelenco"/>
        <w:numPr>
          <w:ilvl w:val="0"/>
          <w:numId w:val="18"/>
        </w:numPr>
        <w:spacing w:after="0" w:line="240" w:lineRule="auto"/>
        <w:jc w:val="both"/>
        <w:rPr>
          <w:rFonts w:asciiTheme="majorHAnsi" w:eastAsia="Times New Roman" w:hAnsiTheme="majorHAnsi" w:cs="Times New Roman"/>
          <w:sz w:val="24"/>
          <w:szCs w:val="24"/>
        </w:rPr>
      </w:pPr>
      <w:r w:rsidRPr="00DC3CB2">
        <w:rPr>
          <w:rFonts w:asciiTheme="majorHAnsi" w:hAnsiTheme="majorHAnsi" w:cs="Times New Roman"/>
          <w:position w:val="1"/>
          <w:sz w:val="24"/>
          <w:szCs w:val="24"/>
        </w:rPr>
        <w:t>i</w:t>
      </w:r>
      <w:r w:rsidR="00A42819" w:rsidRPr="00DC3CB2">
        <w:rPr>
          <w:rFonts w:asciiTheme="majorHAnsi" w:hAnsiTheme="majorHAnsi" w:cs="Times New Roman"/>
          <w:position w:val="1"/>
          <w:sz w:val="24"/>
          <w:szCs w:val="24"/>
        </w:rPr>
        <w:t xml:space="preserve">nterventi </w:t>
      </w:r>
      <w:proofErr w:type="spellStart"/>
      <w:r w:rsidR="00A42819" w:rsidRPr="00DC3CB2">
        <w:rPr>
          <w:rFonts w:asciiTheme="majorHAnsi" w:hAnsiTheme="majorHAnsi" w:cs="Times New Roman"/>
          <w:position w:val="1"/>
          <w:sz w:val="24"/>
          <w:szCs w:val="24"/>
        </w:rPr>
        <w:t>nn</w:t>
      </w:r>
      <w:proofErr w:type="spellEnd"/>
      <w:r w:rsidR="00A42819" w:rsidRPr="00DC3CB2">
        <w:rPr>
          <w:rFonts w:asciiTheme="majorHAnsi" w:hAnsiTheme="majorHAnsi" w:cs="Times New Roman"/>
          <w:position w:val="1"/>
          <w:sz w:val="24"/>
          <w:szCs w:val="24"/>
        </w:rPr>
        <w:t xml:space="preserve">. </w:t>
      </w:r>
      <w:r w:rsidRPr="00DC3CB2">
        <w:rPr>
          <w:rFonts w:asciiTheme="majorHAnsi" w:hAnsiTheme="majorHAnsi" w:cs="Times New Roman"/>
          <w:position w:val="1"/>
          <w:sz w:val="24"/>
          <w:szCs w:val="24"/>
        </w:rPr>
        <w:t>2 e 18:</w:t>
      </w:r>
      <w:r w:rsidR="00977D05" w:rsidRPr="00DC3CB2">
        <w:rPr>
          <w:rFonts w:asciiTheme="majorHAnsi" w:hAnsiTheme="majorHAnsi" w:cs="Times New Roman"/>
          <w:position w:val="1"/>
          <w:sz w:val="24"/>
          <w:szCs w:val="24"/>
        </w:rPr>
        <w:t xml:space="preserve"> </w:t>
      </w:r>
      <w:r w:rsidR="00977D05" w:rsidRPr="00DC3CB2">
        <w:rPr>
          <w:rFonts w:asciiTheme="majorHAnsi" w:eastAsia="Times New Roman" w:hAnsiTheme="majorHAnsi" w:cs="Arial"/>
          <w:sz w:val="24"/>
          <w:szCs w:val="24"/>
        </w:rPr>
        <w:t>rapida evoluzione della normativa statale e dei relativi atti di indirizzo,</w:t>
      </w:r>
      <w:r w:rsidR="00241330" w:rsidRPr="00DC3CB2">
        <w:rPr>
          <w:rFonts w:asciiTheme="majorHAnsi" w:eastAsia="Times New Roman" w:hAnsiTheme="majorHAnsi" w:cs="Arial"/>
          <w:sz w:val="24"/>
          <w:szCs w:val="24"/>
        </w:rPr>
        <w:t xml:space="preserve"> </w:t>
      </w:r>
      <w:r w:rsidR="00977D05" w:rsidRPr="00DC3CB2">
        <w:rPr>
          <w:rFonts w:asciiTheme="majorHAnsi" w:eastAsia="Times New Roman" w:hAnsiTheme="majorHAnsi" w:cs="Arial"/>
          <w:sz w:val="24"/>
          <w:szCs w:val="24"/>
        </w:rPr>
        <w:t xml:space="preserve">anche per il recepimento del </w:t>
      </w:r>
      <w:proofErr w:type="spellStart"/>
      <w:r w:rsidR="00977D05" w:rsidRPr="00DC3CB2">
        <w:rPr>
          <w:rFonts w:asciiTheme="majorHAnsi" w:eastAsia="Times New Roman" w:hAnsiTheme="majorHAnsi" w:cs="Arial"/>
          <w:sz w:val="24"/>
          <w:szCs w:val="24"/>
        </w:rPr>
        <w:t>D.Lgs.</w:t>
      </w:r>
      <w:proofErr w:type="spellEnd"/>
      <w:r w:rsidR="00977D05" w:rsidRPr="00DC3CB2">
        <w:rPr>
          <w:rFonts w:asciiTheme="majorHAnsi" w:eastAsia="Times New Roman" w:hAnsiTheme="majorHAnsi" w:cs="Arial"/>
          <w:sz w:val="24"/>
          <w:szCs w:val="24"/>
        </w:rPr>
        <w:t xml:space="preserve"> n. 50/2016, </w:t>
      </w:r>
      <w:r w:rsidR="00241330" w:rsidRPr="00DC3CB2">
        <w:rPr>
          <w:rFonts w:asciiTheme="majorHAnsi" w:eastAsia="Times New Roman" w:hAnsiTheme="majorHAnsi" w:cs="Arial"/>
          <w:sz w:val="24"/>
          <w:szCs w:val="24"/>
        </w:rPr>
        <w:t xml:space="preserve">che ha </w:t>
      </w:r>
      <w:r w:rsidR="00977D05" w:rsidRPr="00DC3CB2">
        <w:rPr>
          <w:rFonts w:asciiTheme="majorHAnsi" w:eastAsia="Times New Roman" w:hAnsiTheme="majorHAnsi" w:cs="Arial"/>
          <w:sz w:val="24"/>
          <w:szCs w:val="24"/>
        </w:rPr>
        <w:t>rinvi</w:t>
      </w:r>
      <w:r w:rsidR="00241330" w:rsidRPr="00DC3CB2">
        <w:rPr>
          <w:rFonts w:asciiTheme="majorHAnsi" w:eastAsia="Times New Roman" w:hAnsiTheme="majorHAnsi" w:cs="Arial"/>
          <w:sz w:val="24"/>
          <w:szCs w:val="24"/>
        </w:rPr>
        <w:t>at</w:t>
      </w:r>
      <w:r w:rsidR="00977D05" w:rsidRPr="00DC3CB2">
        <w:rPr>
          <w:rFonts w:asciiTheme="majorHAnsi" w:eastAsia="Times New Roman" w:hAnsiTheme="majorHAnsi" w:cs="Arial"/>
          <w:sz w:val="24"/>
          <w:szCs w:val="24"/>
        </w:rPr>
        <w:t xml:space="preserve">o a numerosi </w:t>
      </w:r>
      <w:r w:rsidR="00241330" w:rsidRPr="00DC3CB2">
        <w:rPr>
          <w:rFonts w:asciiTheme="majorHAnsi" w:eastAsia="Times New Roman" w:hAnsiTheme="majorHAnsi" w:cs="Arial"/>
          <w:sz w:val="24"/>
          <w:szCs w:val="24"/>
        </w:rPr>
        <w:t>provvedimenti attuativi. L</w:t>
      </w:r>
      <w:r w:rsidR="00977D05" w:rsidRPr="00DC3CB2">
        <w:rPr>
          <w:rFonts w:asciiTheme="majorHAnsi" w:eastAsia="Times New Roman" w:hAnsiTheme="majorHAnsi" w:cs="Arial"/>
          <w:sz w:val="24"/>
          <w:szCs w:val="24"/>
        </w:rPr>
        <w:t xml:space="preserve">imitazione degli spazi regionali di </w:t>
      </w:r>
      <w:r w:rsidR="00382DFD" w:rsidRPr="00DC3CB2">
        <w:rPr>
          <w:rFonts w:asciiTheme="majorHAnsi" w:eastAsia="Times New Roman" w:hAnsiTheme="majorHAnsi" w:cs="Arial"/>
          <w:sz w:val="24"/>
          <w:szCs w:val="24"/>
        </w:rPr>
        <w:t>azione.</w:t>
      </w:r>
      <w:r w:rsidR="00977D05" w:rsidRPr="00DC3CB2">
        <w:rPr>
          <w:rFonts w:asciiTheme="majorHAnsi" w:eastAsia="Times New Roman" w:hAnsiTheme="majorHAnsi" w:cs="Arial"/>
          <w:sz w:val="24"/>
          <w:szCs w:val="24"/>
        </w:rPr>
        <w:t xml:space="preserve"> </w:t>
      </w:r>
      <w:r w:rsidR="00382DFD" w:rsidRPr="00DC3CB2">
        <w:rPr>
          <w:rFonts w:asciiTheme="majorHAnsi" w:eastAsia="Times New Roman" w:hAnsiTheme="majorHAnsi" w:cs="Arial"/>
          <w:sz w:val="24"/>
          <w:szCs w:val="24"/>
        </w:rPr>
        <w:t>D</w:t>
      </w:r>
      <w:r w:rsidR="00977D05" w:rsidRPr="00DC3CB2">
        <w:rPr>
          <w:rFonts w:asciiTheme="majorHAnsi" w:eastAsia="Times New Roman" w:hAnsiTheme="majorHAnsi" w:cs="Arial"/>
          <w:sz w:val="24"/>
          <w:szCs w:val="24"/>
        </w:rPr>
        <w:t xml:space="preserve">ifficoltà tecnico-amministrative per la conclusione dell'attività di </w:t>
      </w:r>
      <w:r w:rsidR="00F1799F" w:rsidRPr="00DC3CB2">
        <w:rPr>
          <w:rFonts w:asciiTheme="majorHAnsi" w:eastAsia="Times New Roman" w:hAnsiTheme="majorHAnsi" w:cs="Arial"/>
          <w:sz w:val="24"/>
          <w:szCs w:val="24"/>
        </w:rPr>
        <w:t>approvazione del Prezzario 2014;</w:t>
      </w:r>
    </w:p>
    <w:p w14:paraId="289FFFD0" w14:textId="73D83F1A" w:rsidR="00A56FA4" w:rsidRPr="00DC3CB2" w:rsidRDefault="00A72648" w:rsidP="00DC3CB2">
      <w:pPr>
        <w:pStyle w:val="Paragrafoelenco"/>
        <w:numPr>
          <w:ilvl w:val="0"/>
          <w:numId w:val="20"/>
        </w:numPr>
        <w:spacing w:after="0" w:line="240" w:lineRule="auto"/>
        <w:jc w:val="both"/>
        <w:rPr>
          <w:rFonts w:asciiTheme="majorHAnsi" w:eastAsia="Times New Roman" w:hAnsiTheme="majorHAnsi" w:cs="Times New Roman"/>
          <w:sz w:val="24"/>
          <w:szCs w:val="24"/>
        </w:rPr>
      </w:pPr>
      <w:r w:rsidRPr="00DC3CB2">
        <w:rPr>
          <w:rFonts w:asciiTheme="majorHAnsi" w:eastAsia="Times New Roman" w:hAnsiTheme="majorHAnsi" w:cs="Arial"/>
          <w:sz w:val="24"/>
          <w:szCs w:val="24"/>
        </w:rPr>
        <w:t>i</w:t>
      </w:r>
      <w:r w:rsidR="00A56FA4" w:rsidRPr="00DC3CB2">
        <w:rPr>
          <w:rFonts w:asciiTheme="majorHAnsi" w:eastAsia="Times New Roman" w:hAnsiTheme="majorHAnsi" w:cs="Arial"/>
          <w:sz w:val="24"/>
          <w:szCs w:val="24"/>
        </w:rPr>
        <w:t xml:space="preserve">ntervento n. </w:t>
      </w:r>
      <w:r w:rsidR="00CA6042" w:rsidRPr="00DC3CB2">
        <w:rPr>
          <w:rFonts w:asciiTheme="majorHAnsi" w:eastAsia="Times New Roman" w:hAnsiTheme="majorHAnsi" w:cs="Arial"/>
          <w:sz w:val="24"/>
          <w:szCs w:val="24"/>
        </w:rPr>
        <w:t xml:space="preserve">11: </w:t>
      </w:r>
      <w:r w:rsidR="00A56FA4" w:rsidRPr="00DC3CB2">
        <w:rPr>
          <w:rFonts w:asciiTheme="majorHAnsi" w:eastAsia="Times New Roman" w:hAnsiTheme="majorHAnsi" w:cs="Times New Roman"/>
          <w:sz w:val="24"/>
          <w:szCs w:val="24"/>
        </w:rPr>
        <w:t>obbligo di assorbimento di circa 400 dipendenti provenienti dalle Province</w:t>
      </w:r>
      <w:r w:rsidR="00F41193" w:rsidRPr="00DC3CB2">
        <w:rPr>
          <w:rFonts w:asciiTheme="majorHAnsi" w:eastAsia="Times New Roman" w:hAnsiTheme="majorHAnsi" w:cs="Times New Roman"/>
          <w:sz w:val="24"/>
          <w:szCs w:val="24"/>
        </w:rPr>
        <w:t>.</w:t>
      </w:r>
    </w:p>
    <w:p w14:paraId="23D6601E" w14:textId="6A9D8C24" w:rsidR="00A56FA4" w:rsidRPr="00797570" w:rsidRDefault="00A56FA4" w:rsidP="00DC3CB2">
      <w:pPr>
        <w:pStyle w:val="Paragrafoelenco"/>
        <w:spacing w:after="0" w:line="240" w:lineRule="auto"/>
        <w:jc w:val="both"/>
        <w:rPr>
          <w:rFonts w:asciiTheme="majorHAnsi" w:eastAsia="Times New Roman" w:hAnsiTheme="majorHAnsi" w:cs="Times New Roman"/>
          <w:sz w:val="24"/>
          <w:szCs w:val="24"/>
        </w:rPr>
      </w:pPr>
    </w:p>
    <w:p w14:paraId="68DC9462" w14:textId="77777777" w:rsidR="00621D2D" w:rsidRPr="00797570" w:rsidRDefault="00621D2D" w:rsidP="00621D2D">
      <w:pPr>
        <w:spacing w:after="120" w:line="240" w:lineRule="auto"/>
        <w:jc w:val="both"/>
        <w:outlineLvl w:val="0"/>
        <w:rPr>
          <w:rFonts w:asciiTheme="majorHAnsi" w:eastAsia="Calibri" w:hAnsiTheme="majorHAnsi" w:cs="Times New Roman"/>
          <w:b/>
          <w:sz w:val="24"/>
          <w:szCs w:val="24"/>
          <w:u w:val="single"/>
        </w:rPr>
      </w:pPr>
    </w:p>
    <w:p w14:paraId="1BD45713" w14:textId="724A3A72" w:rsidR="00621D2D" w:rsidRPr="00797570" w:rsidRDefault="00B54090" w:rsidP="00621D2D">
      <w:pPr>
        <w:autoSpaceDE w:val="0"/>
        <w:autoSpaceDN w:val="0"/>
        <w:adjustRightInd w:val="0"/>
        <w:spacing w:after="120" w:line="240" w:lineRule="auto"/>
        <w:ind w:left="40" w:right="-20"/>
        <w:jc w:val="both"/>
        <w:rPr>
          <w:rFonts w:asciiTheme="majorHAnsi" w:hAnsiTheme="majorHAnsi" w:cs="Times New Roman"/>
          <w:position w:val="1"/>
          <w:sz w:val="24"/>
          <w:szCs w:val="24"/>
        </w:rPr>
      </w:pPr>
      <w:r w:rsidRPr="00797570">
        <w:rPr>
          <w:rFonts w:asciiTheme="majorHAnsi" w:eastAsia="Calibri" w:hAnsiTheme="majorHAnsi" w:cs="Times New Roman"/>
          <w:b/>
          <w:sz w:val="24"/>
          <w:szCs w:val="24"/>
          <w:u w:val="single"/>
        </w:rPr>
        <w:t>Sezione 2 - avanzamento degli interventi di rafforzamento</w:t>
      </w:r>
    </w:p>
    <w:p w14:paraId="37D0EB2D" w14:textId="3289FF60" w:rsidR="00B13463" w:rsidRPr="0076454C" w:rsidRDefault="00F41193" w:rsidP="00DA469C">
      <w:pPr>
        <w:spacing w:after="0" w:line="240" w:lineRule="auto"/>
        <w:jc w:val="both"/>
        <w:rPr>
          <w:rFonts w:asciiTheme="majorHAnsi" w:eastAsia="Times New Roman" w:hAnsiTheme="majorHAnsi" w:cs="Times New Roman"/>
          <w:sz w:val="24"/>
          <w:szCs w:val="24"/>
        </w:rPr>
      </w:pPr>
      <w:r w:rsidRPr="0076454C">
        <w:rPr>
          <w:rFonts w:asciiTheme="majorHAnsi" w:eastAsia="Times New Roman" w:hAnsiTheme="majorHAnsi" w:cs="Times New Roman"/>
          <w:sz w:val="24"/>
          <w:szCs w:val="24"/>
        </w:rPr>
        <w:t>Di seguito si fornisce lo stato di avanzamento degli interventi ancora in corso.</w:t>
      </w:r>
    </w:p>
    <w:p w14:paraId="4C389A73" w14:textId="77777777" w:rsidR="00F41193" w:rsidRPr="00797570" w:rsidRDefault="00F41193" w:rsidP="00DA469C">
      <w:pPr>
        <w:spacing w:after="0" w:line="240" w:lineRule="auto"/>
        <w:jc w:val="both"/>
        <w:rPr>
          <w:rFonts w:asciiTheme="majorHAnsi" w:eastAsia="Times New Roman" w:hAnsiTheme="majorHAnsi" w:cs="Times New Roman"/>
          <w:b/>
          <w:sz w:val="24"/>
          <w:szCs w:val="24"/>
        </w:rPr>
      </w:pPr>
    </w:p>
    <w:p w14:paraId="78C291B2" w14:textId="77777777" w:rsidR="00DA469C" w:rsidRPr="00797570" w:rsidRDefault="00DA469C" w:rsidP="00DA469C">
      <w:pPr>
        <w:spacing w:after="0" w:line="240" w:lineRule="auto"/>
        <w:jc w:val="both"/>
        <w:rPr>
          <w:rFonts w:asciiTheme="majorHAnsi" w:eastAsia="Times New Roman" w:hAnsiTheme="majorHAnsi" w:cs="Times New Roman"/>
          <w:b/>
          <w:sz w:val="24"/>
          <w:szCs w:val="24"/>
        </w:rPr>
      </w:pPr>
      <w:r w:rsidRPr="00797570">
        <w:rPr>
          <w:rFonts w:asciiTheme="majorHAnsi" w:eastAsia="Times New Roman" w:hAnsiTheme="majorHAnsi" w:cs="Times New Roman"/>
          <w:b/>
          <w:sz w:val="24"/>
          <w:szCs w:val="24"/>
        </w:rPr>
        <w:t>Intervento 2 “Semplificazione delle procedure di gara”</w:t>
      </w:r>
    </w:p>
    <w:p w14:paraId="5B5C5C90" w14:textId="77777777" w:rsidR="00DA469C" w:rsidRPr="00797570" w:rsidRDefault="00DA469C" w:rsidP="00DA469C">
      <w:pPr>
        <w:spacing w:after="0" w:line="240" w:lineRule="auto"/>
        <w:jc w:val="both"/>
        <w:rPr>
          <w:rFonts w:asciiTheme="majorHAnsi" w:eastAsia="Times New Roman" w:hAnsiTheme="majorHAnsi" w:cs="Times New Roman"/>
          <w:sz w:val="24"/>
          <w:szCs w:val="24"/>
        </w:rPr>
      </w:pPr>
      <w:r w:rsidRPr="00797570">
        <w:rPr>
          <w:rFonts w:asciiTheme="majorHAnsi" w:eastAsia="Times New Roman" w:hAnsiTheme="majorHAnsi" w:cs="Times New Roman"/>
          <w:sz w:val="24"/>
          <w:szCs w:val="24"/>
        </w:rPr>
        <w:t xml:space="preserve">Successivamente all’adozione del D. </w:t>
      </w:r>
      <w:proofErr w:type="spellStart"/>
      <w:r w:rsidRPr="00797570">
        <w:rPr>
          <w:rFonts w:asciiTheme="majorHAnsi" w:eastAsia="Times New Roman" w:hAnsiTheme="majorHAnsi" w:cs="Times New Roman"/>
          <w:sz w:val="24"/>
          <w:szCs w:val="24"/>
        </w:rPr>
        <w:t>Lgs</w:t>
      </w:r>
      <w:proofErr w:type="spellEnd"/>
      <w:r w:rsidRPr="00797570">
        <w:rPr>
          <w:rFonts w:asciiTheme="majorHAnsi" w:eastAsia="Times New Roman" w:hAnsiTheme="majorHAnsi" w:cs="Times New Roman"/>
          <w:sz w:val="24"/>
          <w:szCs w:val="24"/>
        </w:rPr>
        <w:t>. n. 50/2016 la Regione del Veneto può assumere solo indicazioni operative. In data 17 maggio 2016 la Giunta regionale ha avviato la procedura per l’approvazione di una Legge Regionale. Il predetto disegno di legge (PDL n. 144) è attualmente all’esame del Consiglio regionale e all’articolo 29 reca una disposizione intesa ad autorizzare la Giunta regionale ad adottare specifici atti di indirizzo di carattere vincolante. Il disegno di legge è ancora all’esame del Consiglio regionale.</w:t>
      </w:r>
    </w:p>
    <w:p w14:paraId="0157E6BE" w14:textId="77777777" w:rsidR="00DA469C" w:rsidRPr="00797570" w:rsidRDefault="00DA469C" w:rsidP="00DA469C">
      <w:pPr>
        <w:spacing w:after="0" w:line="240" w:lineRule="auto"/>
        <w:jc w:val="both"/>
        <w:rPr>
          <w:rFonts w:asciiTheme="majorHAnsi" w:eastAsia="Times New Roman" w:hAnsiTheme="majorHAnsi" w:cs="Times New Roman"/>
          <w:sz w:val="24"/>
          <w:szCs w:val="24"/>
        </w:rPr>
      </w:pPr>
      <w:r w:rsidRPr="00797570">
        <w:rPr>
          <w:rFonts w:asciiTheme="majorHAnsi" w:eastAsia="Times New Roman" w:hAnsiTheme="majorHAnsi" w:cs="Times New Roman"/>
          <w:sz w:val="24"/>
          <w:szCs w:val="24"/>
        </w:rPr>
        <w:t xml:space="preserve">Nelle more del procedimento legislativo è stata avviata l'attività istruttoria preliminare per individuare i possibili contenuti operativi di semplificazione.  </w:t>
      </w:r>
    </w:p>
    <w:p w14:paraId="7C3AC3E6" w14:textId="77777777" w:rsidR="00DA469C" w:rsidRPr="00797570" w:rsidRDefault="00DA469C" w:rsidP="00DA469C">
      <w:pPr>
        <w:spacing w:after="120" w:line="240" w:lineRule="auto"/>
        <w:jc w:val="both"/>
        <w:outlineLvl w:val="0"/>
        <w:rPr>
          <w:rFonts w:asciiTheme="majorHAnsi" w:hAnsiTheme="majorHAnsi" w:cs="Times New Roman"/>
          <w:b/>
          <w:sz w:val="24"/>
          <w:szCs w:val="24"/>
        </w:rPr>
      </w:pPr>
    </w:p>
    <w:p w14:paraId="21595C24" w14:textId="77777777" w:rsidR="0029000E" w:rsidRPr="00797570" w:rsidRDefault="0029000E" w:rsidP="0029000E">
      <w:pPr>
        <w:spacing w:after="0" w:line="240" w:lineRule="auto"/>
        <w:jc w:val="both"/>
        <w:rPr>
          <w:rFonts w:asciiTheme="majorHAnsi" w:eastAsia="Times New Roman" w:hAnsiTheme="majorHAnsi" w:cs="Times New Roman"/>
          <w:sz w:val="24"/>
          <w:szCs w:val="24"/>
        </w:rPr>
      </w:pPr>
      <w:r w:rsidRPr="00797570">
        <w:rPr>
          <w:rFonts w:asciiTheme="majorHAnsi" w:eastAsia="Times New Roman" w:hAnsiTheme="majorHAnsi" w:cs="Times New Roman"/>
          <w:b/>
          <w:sz w:val="24"/>
          <w:szCs w:val="24"/>
        </w:rPr>
        <w:t>Intervento 11 “Razionalizzazione delle risorse umane dedicate ai PO”</w:t>
      </w:r>
    </w:p>
    <w:p w14:paraId="697E607C" w14:textId="77777777" w:rsidR="0029000E" w:rsidRPr="00797570" w:rsidRDefault="0029000E" w:rsidP="0029000E">
      <w:pPr>
        <w:spacing w:after="0" w:line="240" w:lineRule="auto"/>
        <w:jc w:val="both"/>
        <w:rPr>
          <w:rFonts w:asciiTheme="majorHAnsi" w:eastAsia="Times New Roman" w:hAnsiTheme="majorHAnsi" w:cs="Times New Roman"/>
          <w:sz w:val="24"/>
          <w:szCs w:val="24"/>
        </w:rPr>
      </w:pPr>
      <w:r w:rsidRPr="00797570">
        <w:rPr>
          <w:rFonts w:asciiTheme="majorHAnsi" w:eastAsia="Times New Roman" w:hAnsiTheme="majorHAnsi" w:cs="Times New Roman"/>
          <w:sz w:val="24"/>
          <w:szCs w:val="24"/>
        </w:rPr>
        <w:t>A maggio 2016 è stato approvato il Piano delle assunzioni per l'anno 2016 che affronta la necessità di rinforzo di personale previsto dal PRA.</w:t>
      </w:r>
    </w:p>
    <w:p w14:paraId="30485315" w14:textId="77777777" w:rsidR="0029000E" w:rsidRPr="00797570" w:rsidRDefault="0029000E" w:rsidP="0029000E">
      <w:pPr>
        <w:spacing w:after="0" w:line="240" w:lineRule="auto"/>
        <w:jc w:val="both"/>
        <w:rPr>
          <w:rFonts w:asciiTheme="majorHAnsi" w:eastAsia="Times New Roman" w:hAnsiTheme="majorHAnsi" w:cs="Times New Roman"/>
          <w:sz w:val="24"/>
          <w:szCs w:val="24"/>
        </w:rPr>
      </w:pPr>
      <w:r w:rsidRPr="00797570">
        <w:rPr>
          <w:rFonts w:asciiTheme="majorHAnsi" w:eastAsia="Times New Roman" w:hAnsiTheme="majorHAnsi" w:cs="Times New Roman"/>
          <w:sz w:val="24"/>
          <w:szCs w:val="24"/>
        </w:rPr>
        <w:t>Dopo che il Dipartimento della Funzione Pubblica con circolare del 18.07.2016 ha ripristinato le ordinarie facoltà di assunzione di personale per le Amministrazioni che hanno completato l’allocazione del personale proveniente dalle ex Province, sono state avviate le procedure per l’acquisizione del personale che sarà assegnato prioritariamente alle SRA.</w:t>
      </w:r>
    </w:p>
    <w:p w14:paraId="61A824E5" w14:textId="77777777" w:rsidR="0029000E" w:rsidRPr="00797570" w:rsidRDefault="0029000E" w:rsidP="0029000E">
      <w:pPr>
        <w:spacing w:after="0" w:line="240" w:lineRule="auto"/>
        <w:jc w:val="both"/>
        <w:rPr>
          <w:rFonts w:asciiTheme="majorHAnsi" w:eastAsia="Times New Roman" w:hAnsiTheme="majorHAnsi" w:cs="Times New Roman"/>
          <w:sz w:val="24"/>
          <w:szCs w:val="24"/>
        </w:rPr>
      </w:pPr>
      <w:r w:rsidRPr="00797570">
        <w:rPr>
          <w:rFonts w:asciiTheme="majorHAnsi" w:eastAsia="Times New Roman" w:hAnsiTheme="majorHAnsi" w:cs="Times New Roman"/>
          <w:sz w:val="24"/>
          <w:szCs w:val="24"/>
        </w:rPr>
        <w:t>Dopo aver pubblicato gli avvisi di mobilità esterna volontaria ed interna, il 26.08.2016 sono usciti i bandi di concorso per 5 distinti profili professionali.</w:t>
      </w:r>
    </w:p>
    <w:p w14:paraId="0A9C3DFC" w14:textId="77777777" w:rsidR="0029000E" w:rsidRPr="00797570" w:rsidRDefault="0029000E" w:rsidP="0029000E">
      <w:pPr>
        <w:spacing w:after="0" w:line="240" w:lineRule="auto"/>
        <w:jc w:val="both"/>
        <w:rPr>
          <w:rFonts w:asciiTheme="majorHAnsi" w:hAnsiTheme="majorHAnsi" w:cs="Times New Roman"/>
          <w:sz w:val="24"/>
          <w:szCs w:val="24"/>
        </w:rPr>
      </w:pPr>
      <w:r w:rsidRPr="00797570">
        <w:rPr>
          <w:rFonts w:asciiTheme="majorHAnsi" w:hAnsiTheme="majorHAnsi" w:cs="Times New Roman"/>
          <w:sz w:val="24"/>
          <w:szCs w:val="24"/>
        </w:rPr>
        <w:t xml:space="preserve">Le procedure concorsuali, in considerazione dell’elevato numero di domande pervenute, si chiuderanno nel corso del 2017. </w:t>
      </w:r>
    </w:p>
    <w:p w14:paraId="2702A964" w14:textId="77777777" w:rsidR="0029000E" w:rsidRPr="00797570" w:rsidRDefault="0029000E" w:rsidP="0029000E">
      <w:pPr>
        <w:spacing w:after="0" w:line="240" w:lineRule="auto"/>
        <w:jc w:val="both"/>
        <w:rPr>
          <w:rFonts w:asciiTheme="majorHAnsi" w:hAnsiTheme="majorHAnsi" w:cs="Times New Roman"/>
          <w:sz w:val="24"/>
          <w:szCs w:val="24"/>
        </w:rPr>
      </w:pPr>
      <w:r w:rsidRPr="00797570">
        <w:rPr>
          <w:rFonts w:asciiTheme="majorHAnsi" w:hAnsiTheme="majorHAnsi" w:cs="Times New Roman"/>
          <w:sz w:val="24"/>
          <w:szCs w:val="24"/>
        </w:rPr>
        <w:t>Nel frattempo si è proceduto a prorogare davanti alla competente Direzione Provinciale Territoriale del Ministero del Lavoro i contratti in scadenza per ulteriori 12 mesi.</w:t>
      </w:r>
    </w:p>
    <w:p w14:paraId="2C2927B0" w14:textId="77777777" w:rsidR="0029000E" w:rsidRPr="00797570" w:rsidRDefault="0029000E" w:rsidP="0029000E">
      <w:pPr>
        <w:spacing w:after="0" w:line="240" w:lineRule="auto"/>
        <w:jc w:val="both"/>
        <w:rPr>
          <w:rFonts w:asciiTheme="majorHAnsi" w:hAnsiTheme="majorHAnsi" w:cs="Times New Roman"/>
          <w:sz w:val="24"/>
          <w:szCs w:val="24"/>
        </w:rPr>
      </w:pPr>
      <w:r w:rsidRPr="00685F13">
        <w:rPr>
          <w:rFonts w:asciiTheme="majorHAnsi" w:hAnsiTheme="majorHAnsi" w:cs="Times New Roman"/>
          <w:sz w:val="24"/>
          <w:szCs w:val="24"/>
        </w:rPr>
        <w:t>Nel mese di aprile 2017, concluse le procedure di mobilità esterna, sono entrate stabilmente nell’organico regionale n. 2 unità e altri n. 5 candidati idonei a breve saranno acquisiti.</w:t>
      </w:r>
      <w:r w:rsidRPr="00797570">
        <w:rPr>
          <w:rFonts w:asciiTheme="majorHAnsi" w:hAnsiTheme="majorHAnsi" w:cs="Times New Roman"/>
          <w:sz w:val="24"/>
          <w:szCs w:val="24"/>
        </w:rPr>
        <w:t xml:space="preserve"> </w:t>
      </w:r>
    </w:p>
    <w:p w14:paraId="7A811931" w14:textId="77777777" w:rsidR="00F41193" w:rsidRPr="00797570" w:rsidRDefault="00F41193" w:rsidP="00F41193">
      <w:pPr>
        <w:spacing w:after="0" w:line="240" w:lineRule="auto"/>
        <w:jc w:val="both"/>
        <w:rPr>
          <w:rFonts w:asciiTheme="majorHAnsi" w:eastAsia="Times New Roman" w:hAnsiTheme="majorHAnsi" w:cs="Times New Roman"/>
          <w:b/>
          <w:sz w:val="24"/>
          <w:szCs w:val="24"/>
        </w:rPr>
      </w:pPr>
    </w:p>
    <w:p w14:paraId="7940D683" w14:textId="77777777" w:rsidR="003E5733" w:rsidRPr="00A42534" w:rsidRDefault="003E5733" w:rsidP="003E5733">
      <w:pPr>
        <w:spacing w:after="0" w:line="240" w:lineRule="auto"/>
        <w:jc w:val="both"/>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Intervento 14 “Implementazione del nuovo Sistema Informativo Unitario della programmazione</w:t>
      </w:r>
      <w:r>
        <w:rPr>
          <w:rFonts w:asciiTheme="majorHAnsi" w:eastAsia="Times New Roman" w:hAnsiTheme="majorHAnsi" w:cs="Times New Roman"/>
          <w:b/>
          <w:sz w:val="24"/>
          <w:szCs w:val="24"/>
        </w:rPr>
        <w:t xml:space="preserve"> </w:t>
      </w:r>
      <w:r w:rsidRPr="00A42534">
        <w:rPr>
          <w:rFonts w:asciiTheme="majorHAnsi" w:eastAsia="Times New Roman" w:hAnsiTheme="majorHAnsi" w:cs="Times New Roman"/>
          <w:b/>
          <w:sz w:val="24"/>
          <w:szCs w:val="24"/>
        </w:rPr>
        <w:t>2014/2020”</w:t>
      </w:r>
    </w:p>
    <w:p w14:paraId="1CE105B4" w14:textId="77777777" w:rsidR="00DC3CB2" w:rsidRDefault="003E5733" w:rsidP="003E5733">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 xml:space="preserve">Le attività preliminari si sono concluse e sono stati ultimati l'Anagrafe Unica ed il global design. Sono stati realizzati i servizi di integrazione con il protocollo regionale e rilasciati in </w:t>
      </w:r>
    </w:p>
    <w:p w14:paraId="6560951A" w14:textId="77777777" w:rsidR="00DC3CB2" w:rsidRDefault="00DC3CB2" w:rsidP="003E5733">
      <w:pPr>
        <w:spacing w:after="0" w:line="240" w:lineRule="auto"/>
        <w:jc w:val="both"/>
        <w:rPr>
          <w:rFonts w:asciiTheme="majorHAnsi" w:eastAsia="Times New Roman" w:hAnsiTheme="majorHAnsi" w:cs="Times New Roman"/>
          <w:sz w:val="24"/>
          <w:szCs w:val="24"/>
        </w:rPr>
      </w:pPr>
    </w:p>
    <w:p w14:paraId="4544F39E" w14:textId="77777777" w:rsidR="00DC3CB2" w:rsidRDefault="00DC3CB2" w:rsidP="003E5733">
      <w:pPr>
        <w:spacing w:after="0" w:line="240" w:lineRule="auto"/>
        <w:jc w:val="both"/>
        <w:rPr>
          <w:rFonts w:asciiTheme="majorHAnsi" w:eastAsia="Times New Roman" w:hAnsiTheme="majorHAnsi" w:cs="Times New Roman"/>
          <w:sz w:val="24"/>
          <w:szCs w:val="24"/>
        </w:rPr>
      </w:pPr>
    </w:p>
    <w:p w14:paraId="0142C0D4" w14:textId="77777777" w:rsidR="00DC3CB2" w:rsidRDefault="00DC3CB2" w:rsidP="003E5733">
      <w:pPr>
        <w:spacing w:after="0" w:line="240" w:lineRule="auto"/>
        <w:jc w:val="both"/>
        <w:rPr>
          <w:rFonts w:asciiTheme="majorHAnsi" w:eastAsia="Times New Roman" w:hAnsiTheme="majorHAnsi" w:cs="Times New Roman"/>
          <w:sz w:val="24"/>
          <w:szCs w:val="24"/>
        </w:rPr>
      </w:pPr>
    </w:p>
    <w:p w14:paraId="78EC42FA" w14:textId="77777777" w:rsidR="00DC3CB2" w:rsidRDefault="00DC3CB2" w:rsidP="003E5733">
      <w:pPr>
        <w:spacing w:after="0" w:line="240" w:lineRule="auto"/>
        <w:jc w:val="both"/>
        <w:rPr>
          <w:rFonts w:asciiTheme="majorHAnsi" w:eastAsia="Times New Roman" w:hAnsiTheme="majorHAnsi" w:cs="Times New Roman"/>
          <w:sz w:val="24"/>
          <w:szCs w:val="24"/>
        </w:rPr>
      </w:pPr>
    </w:p>
    <w:p w14:paraId="1AD27958" w14:textId="77777777" w:rsidR="00DC3CB2" w:rsidRDefault="00DC3CB2" w:rsidP="003E5733">
      <w:pPr>
        <w:spacing w:after="0" w:line="240" w:lineRule="auto"/>
        <w:jc w:val="both"/>
        <w:rPr>
          <w:rFonts w:asciiTheme="majorHAnsi" w:eastAsia="Times New Roman" w:hAnsiTheme="majorHAnsi" w:cs="Times New Roman"/>
          <w:sz w:val="24"/>
          <w:szCs w:val="24"/>
        </w:rPr>
      </w:pPr>
    </w:p>
    <w:p w14:paraId="477254DA" w14:textId="41019FC8" w:rsidR="003E5733" w:rsidRPr="00A42534" w:rsidRDefault="003E5733" w:rsidP="003E5733">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 xml:space="preserve">produzione: il modulo di gestione accessi e deleghe, il modulo di presentazione istanze FESR </w:t>
      </w:r>
      <w:r w:rsidR="00DC3CB2">
        <w:rPr>
          <w:rFonts w:asciiTheme="majorHAnsi" w:eastAsia="Times New Roman" w:hAnsiTheme="majorHAnsi" w:cs="Times New Roman"/>
          <w:sz w:val="24"/>
          <w:szCs w:val="24"/>
        </w:rPr>
        <w:t>e</w:t>
      </w:r>
      <w:r w:rsidRPr="00A42534">
        <w:rPr>
          <w:rFonts w:asciiTheme="majorHAnsi" w:eastAsia="Times New Roman" w:hAnsiTheme="majorHAnsi" w:cs="Times New Roman"/>
          <w:sz w:val="24"/>
          <w:szCs w:val="24"/>
        </w:rPr>
        <w:t xml:space="preserve">d il modulo di gestione istruttoria per le domande FESR. Sono stati pubblicati e configurati </w:t>
      </w:r>
      <w:r>
        <w:rPr>
          <w:rFonts w:asciiTheme="majorHAnsi" w:eastAsia="Times New Roman" w:hAnsiTheme="majorHAnsi" w:cs="Times New Roman"/>
          <w:sz w:val="24"/>
          <w:szCs w:val="24"/>
        </w:rPr>
        <w:t>numerosi</w:t>
      </w:r>
      <w:r w:rsidRPr="00A42534">
        <w:rPr>
          <w:rFonts w:asciiTheme="majorHAnsi" w:eastAsia="Times New Roman" w:hAnsiTheme="majorHAnsi" w:cs="Times New Roman"/>
          <w:sz w:val="24"/>
          <w:szCs w:val="24"/>
        </w:rPr>
        <w:t xml:space="preserve"> bandi FESR e le relative domande di sostegno sono state presentate alle SRA competenti attraverso l’utilizzo del SIU.</w:t>
      </w:r>
    </w:p>
    <w:p w14:paraId="082E1361" w14:textId="77777777" w:rsidR="003E5733" w:rsidRPr="00A42534" w:rsidRDefault="003E5733" w:rsidP="003E5733">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È stat</w:t>
      </w:r>
      <w:r>
        <w:rPr>
          <w:rFonts w:asciiTheme="majorHAnsi" w:eastAsia="Times New Roman" w:hAnsiTheme="majorHAnsi" w:cs="Times New Roman"/>
          <w:sz w:val="24"/>
          <w:szCs w:val="24"/>
        </w:rPr>
        <w:t>o</w:t>
      </w:r>
      <w:r w:rsidRPr="00A42534">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realizzato il modulo di </w:t>
      </w:r>
      <w:r w:rsidRPr="00A42534">
        <w:rPr>
          <w:rFonts w:asciiTheme="majorHAnsi" w:eastAsia="Times New Roman" w:hAnsiTheme="majorHAnsi" w:cs="Times New Roman"/>
          <w:sz w:val="24"/>
          <w:szCs w:val="24"/>
        </w:rPr>
        <w:t xml:space="preserve"> presentazione delle domande di pagamento e l’istruttoria di pagamento e liquidazione per il FESR, che </w:t>
      </w:r>
      <w:r>
        <w:rPr>
          <w:rFonts w:asciiTheme="majorHAnsi" w:eastAsia="Times New Roman" w:hAnsiTheme="majorHAnsi" w:cs="Times New Roman"/>
          <w:sz w:val="24"/>
          <w:szCs w:val="24"/>
        </w:rPr>
        <w:t>è stato rilasciato</w:t>
      </w:r>
      <w:r w:rsidRPr="00A42534">
        <w:rPr>
          <w:rFonts w:asciiTheme="majorHAnsi" w:eastAsia="Times New Roman" w:hAnsiTheme="majorHAnsi" w:cs="Times New Roman"/>
          <w:sz w:val="24"/>
          <w:szCs w:val="24"/>
        </w:rPr>
        <w:t xml:space="preserve"> in produzione </w:t>
      </w:r>
      <w:r>
        <w:rPr>
          <w:rFonts w:asciiTheme="majorHAnsi" w:eastAsia="Times New Roman" w:hAnsiTheme="majorHAnsi" w:cs="Times New Roman"/>
          <w:sz w:val="24"/>
          <w:szCs w:val="24"/>
        </w:rPr>
        <w:t xml:space="preserve">come previsto a </w:t>
      </w:r>
      <w:r w:rsidRPr="00A42534">
        <w:rPr>
          <w:rFonts w:asciiTheme="majorHAnsi" w:eastAsia="Times New Roman" w:hAnsiTheme="majorHAnsi" w:cs="Times New Roman"/>
          <w:sz w:val="24"/>
          <w:szCs w:val="24"/>
        </w:rPr>
        <w:t>gennaio 2017.</w:t>
      </w:r>
    </w:p>
    <w:p w14:paraId="6AAA1E18" w14:textId="77777777" w:rsidR="003E5733" w:rsidRPr="00A42534" w:rsidRDefault="003E5733" w:rsidP="003E5733">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Il supporto al FEASR è stato completato alla fine del 2016, mentre per il FSE le attività di analisi e sviluppo sono in corso</w:t>
      </w:r>
      <w:r>
        <w:rPr>
          <w:rFonts w:asciiTheme="majorHAnsi" w:eastAsia="Times New Roman" w:hAnsiTheme="majorHAnsi" w:cs="Times New Roman"/>
          <w:sz w:val="24"/>
          <w:szCs w:val="24"/>
        </w:rPr>
        <w:t>:</w:t>
      </w:r>
      <w:r w:rsidRPr="00A42534">
        <w:rPr>
          <w:rFonts w:asciiTheme="majorHAnsi" w:eastAsia="Times New Roman" w:hAnsiTheme="majorHAnsi" w:cs="Times New Roman"/>
          <w:sz w:val="24"/>
          <w:szCs w:val="24"/>
        </w:rPr>
        <w:t xml:space="preserve"> in particolare è stat</w:t>
      </w:r>
      <w:r>
        <w:rPr>
          <w:rFonts w:asciiTheme="majorHAnsi" w:eastAsia="Times New Roman" w:hAnsiTheme="majorHAnsi" w:cs="Times New Roman"/>
          <w:sz w:val="24"/>
          <w:szCs w:val="24"/>
        </w:rPr>
        <w:t>a</w:t>
      </w:r>
      <w:r w:rsidRPr="00A42534">
        <w:rPr>
          <w:rFonts w:asciiTheme="majorHAnsi" w:eastAsia="Times New Roman" w:hAnsiTheme="majorHAnsi" w:cs="Times New Roman"/>
          <w:sz w:val="24"/>
          <w:szCs w:val="24"/>
        </w:rPr>
        <w:t xml:space="preserve"> rilasciat</w:t>
      </w:r>
      <w:r>
        <w:rPr>
          <w:rFonts w:asciiTheme="majorHAnsi" w:eastAsia="Times New Roman" w:hAnsiTheme="majorHAnsi" w:cs="Times New Roman"/>
          <w:sz w:val="24"/>
          <w:szCs w:val="24"/>
        </w:rPr>
        <w:t>a</w:t>
      </w:r>
      <w:r w:rsidRPr="00A42534">
        <w:rPr>
          <w:rFonts w:asciiTheme="majorHAnsi" w:eastAsia="Times New Roman" w:hAnsiTheme="majorHAnsi" w:cs="Times New Roman"/>
          <w:sz w:val="24"/>
          <w:szCs w:val="24"/>
        </w:rPr>
        <w:t xml:space="preserve"> alla fine di settembre l’analisi per il modulo di presentazione delle domande</w:t>
      </w:r>
      <w:r>
        <w:rPr>
          <w:rFonts w:asciiTheme="majorHAnsi" w:eastAsia="Times New Roman" w:hAnsiTheme="majorHAnsi" w:cs="Times New Roman"/>
          <w:sz w:val="24"/>
          <w:szCs w:val="24"/>
        </w:rPr>
        <w:t>, attualmente in fase di collaudo</w:t>
      </w:r>
      <w:r w:rsidRPr="00A42534">
        <w:rPr>
          <w:rFonts w:asciiTheme="majorHAnsi" w:eastAsia="Times New Roman" w:hAnsiTheme="majorHAnsi" w:cs="Times New Roman"/>
          <w:sz w:val="24"/>
          <w:szCs w:val="24"/>
        </w:rPr>
        <w:t>.</w:t>
      </w:r>
    </w:p>
    <w:p w14:paraId="1B515EDB" w14:textId="77777777" w:rsidR="003E5733" w:rsidRDefault="003E5733" w:rsidP="003E5733">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Tra le attività comuni è stata consegnata l’analisi relativa a</w:t>
      </w:r>
      <w:r>
        <w:rPr>
          <w:rFonts w:asciiTheme="majorHAnsi" w:eastAsia="Times New Roman" w:hAnsiTheme="majorHAnsi" w:cs="Times New Roman"/>
          <w:sz w:val="24"/>
          <w:szCs w:val="24"/>
        </w:rPr>
        <w:t>i</w:t>
      </w:r>
      <w:r w:rsidRPr="00A42534">
        <w:rPr>
          <w:rFonts w:asciiTheme="majorHAnsi" w:eastAsia="Times New Roman" w:hAnsiTheme="majorHAnsi" w:cs="Times New Roman"/>
          <w:sz w:val="24"/>
          <w:szCs w:val="24"/>
        </w:rPr>
        <w:t xml:space="preserve"> modul</w:t>
      </w:r>
      <w:r>
        <w:rPr>
          <w:rFonts w:asciiTheme="majorHAnsi" w:eastAsia="Times New Roman" w:hAnsiTheme="majorHAnsi" w:cs="Times New Roman"/>
          <w:sz w:val="24"/>
          <w:szCs w:val="24"/>
        </w:rPr>
        <w:t>i</w:t>
      </w:r>
      <w:r w:rsidRPr="00A42534">
        <w:rPr>
          <w:rFonts w:asciiTheme="majorHAnsi" w:eastAsia="Times New Roman" w:hAnsiTheme="majorHAnsi" w:cs="Times New Roman"/>
          <w:sz w:val="24"/>
          <w:szCs w:val="24"/>
        </w:rPr>
        <w:t xml:space="preserve"> di </w:t>
      </w:r>
      <w:r>
        <w:rPr>
          <w:rFonts w:asciiTheme="majorHAnsi" w:eastAsia="Times New Roman" w:hAnsiTheme="majorHAnsi" w:cs="Times New Roman"/>
          <w:sz w:val="24"/>
          <w:szCs w:val="24"/>
        </w:rPr>
        <w:t>certificazione, gestione controlli e irregolarità. Sono inoltre in fase di collaudo, e verranno quanto prima rilasciati in produzione: il modulo per la trasmissione dei dati di monitoraggio, la certificazione della spesa, il modulo per la gestione delle attività di audit, l’interfacciamento con il sistema contabile regionale, le specifiche per la trasparenza e l’accessibilità.</w:t>
      </w:r>
    </w:p>
    <w:p w14:paraId="1BB0ACC3" w14:textId="77777777" w:rsidR="003E5733" w:rsidRPr="00A42534" w:rsidRDefault="003E5733" w:rsidP="003E5733">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Infine, è in fase di analisi e sviluppo, come pianificato, il </w:t>
      </w:r>
      <w:proofErr w:type="spellStart"/>
      <w:r>
        <w:rPr>
          <w:rFonts w:asciiTheme="majorHAnsi" w:eastAsia="Times New Roman" w:hAnsiTheme="majorHAnsi" w:cs="Times New Roman"/>
          <w:sz w:val="24"/>
          <w:szCs w:val="24"/>
        </w:rPr>
        <w:t>datawarehouse</w:t>
      </w:r>
      <w:proofErr w:type="spellEnd"/>
      <w:r>
        <w:rPr>
          <w:rFonts w:asciiTheme="majorHAnsi" w:eastAsia="Times New Roman" w:hAnsiTheme="majorHAnsi" w:cs="Times New Roman"/>
          <w:sz w:val="24"/>
          <w:szCs w:val="24"/>
        </w:rPr>
        <w:t xml:space="preserve"> per l’analisi dei dati.</w:t>
      </w:r>
    </w:p>
    <w:p w14:paraId="32DAFF6D" w14:textId="77777777" w:rsidR="003E5733" w:rsidRPr="008D14D8" w:rsidRDefault="003E5733" w:rsidP="003E5733">
      <w:pPr>
        <w:spacing w:after="120" w:line="240" w:lineRule="auto"/>
        <w:jc w:val="both"/>
        <w:outlineLvl w:val="0"/>
        <w:rPr>
          <w:rFonts w:asciiTheme="majorHAnsi" w:eastAsia="Calibri" w:hAnsiTheme="majorHAnsi" w:cs="Times New Roman"/>
          <w:sz w:val="24"/>
          <w:szCs w:val="24"/>
        </w:rPr>
      </w:pPr>
      <w:r w:rsidRPr="008D14D8">
        <w:rPr>
          <w:rFonts w:asciiTheme="majorHAnsi" w:eastAsia="Calibri" w:hAnsiTheme="majorHAnsi" w:cs="Times New Roman"/>
          <w:sz w:val="24"/>
          <w:szCs w:val="24"/>
        </w:rPr>
        <w:t>Il sistema realizzato, per</w:t>
      </w:r>
      <w:r>
        <w:rPr>
          <w:rFonts w:asciiTheme="majorHAnsi" w:eastAsia="Calibri" w:hAnsiTheme="majorHAnsi" w:cs="Times New Roman"/>
          <w:sz w:val="24"/>
          <w:szCs w:val="24"/>
        </w:rPr>
        <w:t xml:space="preserve"> </w:t>
      </w:r>
      <w:r w:rsidRPr="008D14D8">
        <w:rPr>
          <w:rFonts w:asciiTheme="majorHAnsi" w:eastAsia="Calibri" w:hAnsiTheme="majorHAnsi" w:cs="Times New Roman"/>
          <w:sz w:val="24"/>
          <w:szCs w:val="24"/>
        </w:rPr>
        <w:t xml:space="preserve">quanto non ancora </w:t>
      </w:r>
      <w:r>
        <w:rPr>
          <w:rFonts w:asciiTheme="majorHAnsi" w:eastAsia="Calibri" w:hAnsiTheme="majorHAnsi" w:cs="Times New Roman"/>
          <w:sz w:val="24"/>
          <w:szCs w:val="24"/>
        </w:rPr>
        <w:t xml:space="preserve">del tutto </w:t>
      </w:r>
      <w:r w:rsidRPr="008D14D8">
        <w:rPr>
          <w:rFonts w:asciiTheme="majorHAnsi" w:eastAsia="Calibri" w:hAnsiTheme="majorHAnsi" w:cs="Times New Roman"/>
          <w:sz w:val="24"/>
          <w:szCs w:val="24"/>
        </w:rPr>
        <w:t>com</w:t>
      </w:r>
      <w:r>
        <w:rPr>
          <w:rFonts w:asciiTheme="majorHAnsi" w:eastAsia="Calibri" w:hAnsiTheme="majorHAnsi" w:cs="Times New Roman"/>
          <w:sz w:val="24"/>
          <w:szCs w:val="24"/>
        </w:rPr>
        <w:t>p</w:t>
      </w:r>
      <w:r w:rsidRPr="008D14D8">
        <w:rPr>
          <w:rFonts w:asciiTheme="majorHAnsi" w:eastAsia="Calibri" w:hAnsiTheme="majorHAnsi" w:cs="Times New Roman"/>
          <w:sz w:val="24"/>
          <w:szCs w:val="24"/>
        </w:rPr>
        <w:t>let</w:t>
      </w:r>
      <w:r>
        <w:rPr>
          <w:rFonts w:asciiTheme="majorHAnsi" w:eastAsia="Calibri" w:hAnsiTheme="majorHAnsi" w:cs="Times New Roman"/>
          <w:sz w:val="24"/>
          <w:szCs w:val="24"/>
        </w:rPr>
        <w:t>at</w:t>
      </w:r>
      <w:r w:rsidRPr="008D14D8">
        <w:rPr>
          <w:rFonts w:asciiTheme="majorHAnsi" w:eastAsia="Calibri" w:hAnsiTheme="majorHAnsi" w:cs="Times New Roman"/>
          <w:sz w:val="24"/>
          <w:szCs w:val="24"/>
        </w:rPr>
        <w:t xml:space="preserve">o in tutte le parti previste, </w:t>
      </w:r>
      <w:r>
        <w:rPr>
          <w:rFonts w:asciiTheme="majorHAnsi" w:eastAsia="Calibri" w:hAnsiTheme="majorHAnsi" w:cs="Times New Roman"/>
          <w:sz w:val="24"/>
          <w:szCs w:val="24"/>
        </w:rPr>
        <w:t>ha consentito di procedere alla pubblicazione dei bandi FESR, alla presentazione delle domande da parte dei soggetti richiedenti, nonché all’istruttoria delle stesse.</w:t>
      </w:r>
    </w:p>
    <w:p w14:paraId="693A9787" w14:textId="77777777" w:rsidR="00E91357" w:rsidRPr="00797570" w:rsidRDefault="00E91357" w:rsidP="00F41193">
      <w:pPr>
        <w:spacing w:after="0" w:line="240" w:lineRule="auto"/>
        <w:jc w:val="both"/>
        <w:rPr>
          <w:rFonts w:asciiTheme="majorHAnsi" w:eastAsia="Times New Roman" w:hAnsiTheme="majorHAnsi" w:cs="Times New Roman"/>
          <w:sz w:val="24"/>
          <w:szCs w:val="24"/>
        </w:rPr>
      </w:pPr>
    </w:p>
    <w:p w14:paraId="55F26FE9" w14:textId="77777777" w:rsidR="0037328D" w:rsidRDefault="00F41193" w:rsidP="000173F8">
      <w:pPr>
        <w:autoSpaceDE w:val="0"/>
        <w:autoSpaceDN w:val="0"/>
        <w:adjustRightInd w:val="0"/>
        <w:spacing w:after="120" w:line="240" w:lineRule="auto"/>
        <w:ind w:right="-20"/>
        <w:jc w:val="both"/>
        <w:rPr>
          <w:rFonts w:asciiTheme="majorHAnsi" w:hAnsiTheme="majorHAnsi" w:cs="Times New Roman"/>
          <w:position w:val="1"/>
          <w:sz w:val="24"/>
          <w:szCs w:val="24"/>
        </w:rPr>
      </w:pPr>
      <w:r w:rsidRPr="00797570">
        <w:rPr>
          <w:rFonts w:asciiTheme="majorHAnsi" w:hAnsiTheme="majorHAnsi" w:cs="Times New Roman"/>
          <w:b/>
          <w:position w:val="1"/>
          <w:sz w:val="24"/>
          <w:szCs w:val="24"/>
        </w:rPr>
        <w:t>Intervento 17 “Aiuti di Stato: misure per reingegnerizzazione del Registro Nazionale degli Aiuti e attivazione sito web dedicato”</w:t>
      </w:r>
      <w:r w:rsidR="000173F8" w:rsidRPr="00797570">
        <w:rPr>
          <w:rFonts w:asciiTheme="majorHAnsi" w:hAnsiTheme="majorHAnsi" w:cs="Times New Roman"/>
          <w:position w:val="1"/>
          <w:sz w:val="24"/>
          <w:szCs w:val="24"/>
        </w:rPr>
        <w:t xml:space="preserve"> </w:t>
      </w:r>
    </w:p>
    <w:p w14:paraId="2C0BD8E7" w14:textId="50BC2964" w:rsidR="00F41193" w:rsidRPr="00797570" w:rsidRDefault="00F41193" w:rsidP="000173F8">
      <w:pPr>
        <w:autoSpaceDE w:val="0"/>
        <w:autoSpaceDN w:val="0"/>
        <w:adjustRightInd w:val="0"/>
        <w:spacing w:after="120" w:line="240" w:lineRule="auto"/>
        <w:ind w:right="-20"/>
        <w:jc w:val="both"/>
        <w:rPr>
          <w:rFonts w:asciiTheme="majorHAnsi" w:hAnsiTheme="majorHAnsi" w:cs="Times New Roman"/>
          <w:position w:val="1"/>
          <w:sz w:val="24"/>
          <w:szCs w:val="24"/>
        </w:rPr>
      </w:pPr>
      <w:r w:rsidRPr="00797570">
        <w:rPr>
          <w:rFonts w:asciiTheme="majorHAnsi" w:hAnsiTheme="majorHAnsi" w:cs="Times New Roman"/>
          <w:position w:val="1"/>
          <w:sz w:val="24"/>
          <w:szCs w:val="24"/>
        </w:rPr>
        <w:t xml:space="preserve">È stato attivato il sito web regionale dedicato agli aiuti di Stato concessi dalla Regione del Veneto e si partecipa ai lavori dei Tavoli nazionali per l'istituzione e l’avvio del nuovo Registro Nazionale degli aiuti di Stato (RNA) in fase di realizzazione e la cui operatività è prevista a partire dal 01.07.2017, ai sensi dell’art. 6 comma 6 e 7 del Decreto Legge n. 244 del 30.12.2016 (Decreto </w:t>
      </w:r>
      <w:proofErr w:type="spellStart"/>
      <w:r w:rsidRPr="00797570">
        <w:rPr>
          <w:rFonts w:asciiTheme="majorHAnsi" w:hAnsiTheme="majorHAnsi" w:cs="Times New Roman"/>
          <w:position w:val="1"/>
          <w:sz w:val="24"/>
          <w:szCs w:val="24"/>
        </w:rPr>
        <w:t>Milleproroghe</w:t>
      </w:r>
      <w:proofErr w:type="spellEnd"/>
      <w:r w:rsidRPr="00797570">
        <w:rPr>
          <w:rFonts w:asciiTheme="majorHAnsi" w:hAnsiTheme="majorHAnsi" w:cs="Times New Roman"/>
          <w:position w:val="1"/>
          <w:sz w:val="24"/>
          <w:szCs w:val="24"/>
        </w:rPr>
        <w:t xml:space="preserve"> 2017). </w:t>
      </w:r>
    </w:p>
    <w:p w14:paraId="5D8CDF59" w14:textId="77777777" w:rsidR="00F41193" w:rsidRPr="00797570" w:rsidRDefault="00F41193" w:rsidP="00F41193">
      <w:pPr>
        <w:spacing w:after="0" w:line="240" w:lineRule="auto"/>
        <w:jc w:val="both"/>
        <w:rPr>
          <w:rFonts w:asciiTheme="majorHAnsi" w:eastAsia="Times New Roman" w:hAnsiTheme="majorHAnsi" w:cs="Times New Roman"/>
          <w:b/>
          <w:sz w:val="24"/>
          <w:szCs w:val="24"/>
        </w:rPr>
      </w:pPr>
    </w:p>
    <w:p w14:paraId="0061337A" w14:textId="77777777" w:rsidR="00F41193" w:rsidRPr="00797570" w:rsidRDefault="00F41193" w:rsidP="00F41193">
      <w:pPr>
        <w:spacing w:after="0" w:line="240" w:lineRule="auto"/>
        <w:jc w:val="both"/>
        <w:rPr>
          <w:rFonts w:asciiTheme="majorHAnsi" w:eastAsia="Times New Roman" w:hAnsiTheme="majorHAnsi" w:cs="Times New Roman"/>
          <w:b/>
          <w:sz w:val="24"/>
          <w:szCs w:val="24"/>
        </w:rPr>
      </w:pPr>
      <w:r w:rsidRPr="00797570">
        <w:rPr>
          <w:rFonts w:asciiTheme="majorHAnsi" w:eastAsia="Times New Roman" w:hAnsiTheme="majorHAnsi" w:cs="Times New Roman"/>
          <w:b/>
          <w:sz w:val="24"/>
          <w:szCs w:val="24"/>
        </w:rPr>
        <w:t>Intervento 18 “Appalti pubblici: interventi di supporto per la soluzione di problematiche tecnico-amministrative e creazione sistema di condivisione”</w:t>
      </w:r>
    </w:p>
    <w:p w14:paraId="2C007024" w14:textId="77777777" w:rsidR="00F41193" w:rsidRPr="00797570" w:rsidRDefault="00F41193" w:rsidP="00F41193">
      <w:pPr>
        <w:spacing w:after="0" w:line="240" w:lineRule="auto"/>
        <w:jc w:val="both"/>
        <w:rPr>
          <w:rFonts w:asciiTheme="majorHAnsi" w:eastAsia="Times New Roman" w:hAnsiTheme="majorHAnsi" w:cs="Arial"/>
          <w:sz w:val="24"/>
          <w:szCs w:val="24"/>
        </w:rPr>
      </w:pPr>
      <w:r w:rsidRPr="00797570">
        <w:rPr>
          <w:rFonts w:asciiTheme="majorHAnsi" w:eastAsia="Times New Roman" w:hAnsiTheme="majorHAnsi" w:cs="Arial"/>
          <w:sz w:val="24"/>
          <w:szCs w:val="24"/>
        </w:rPr>
        <w:t>a) Attività di cui ai punti 2 e 4 dell’intervento n. 18 del PRA</w:t>
      </w:r>
    </w:p>
    <w:p w14:paraId="27DADDFD" w14:textId="0C8356FD" w:rsidR="00F41193" w:rsidRPr="00797570" w:rsidRDefault="00F41193" w:rsidP="00F41193">
      <w:pPr>
        <w:spacing w:after="0" w:line="240" w:lineRule="auto"/>
        <w:jc w:val="both"/>
        <w:rPr>
          <w:rFonts w:asciiTheme="majorHAnsi" w:eastAsia="Times New Roman" w:hAnsiTheme="majorHAnsi" w:cs="Arial"/>
          <w:sz w:val="24"/>
          <w:szCs w:val="24"/>
        </w:rPr>
      </w:pPr>
      <w:r w:rsidRPr="00797570">
        <w:rPr>
          <w:rFonts w:asciiTheme="majorHAnsi" w:eastAsia="Times New Roman" w:hAnsiTheme="majorHAnsi" w:cs="Arial"/>
          <w:sz w:val="24"/>
          <w:szCs w:val="24"/>
        </w:rPr>
        <w:t xml:space="preserve">Il modello di convenzione tipo per i servizi di progettazione (punto 2) è stato adeguato a seguito del D. </w:t>
      </w:r>
      <w:proofErr w:type="spellStart"/>
      <w:r w:rsidRPr="00797570">
        <w:rPr>
          <w:rFonts w:asciiTheme="majorHAnsi" w:eastAsia="Times New Roman" w:hAnsiTheme="majorHAnsi" w:cs="Arial"/>
          <w:sz w:val="24"/>
          <w:szCs w:val="24"/>
        </w:rPr>
        <w:t>Lgs</w:t>
      </w:r>
      <w:proofErr w:type="spellEnd"/>
      <w:r w:rsidRPr="00797570">
        <w:rPr>
          <w:rFonts w:asciiTheme="majorHAnsi" w:eastAsia="Times New Roman" w:hAnsiTheme="majorHAnsi" w:cs="Arial"/>
          <w:sz w:val="24"/>
          <w:szCs w:val="24"/>
        </w:rPr>
        <w:t>. n. 50/2016. Seguirà la valutazione di coerenza con le Linee guida ANAC relative agli indirizzi generali sull’affidamento dei servizi attinenti all’architettura e all’ingegneria. Lo schema di convenzione è stato esaminato dalla Commissione appalti, non appena costituita, nella seduta del 14.12.2016 per l’acquisizione del parere preliminare ed è stato approvato definitivamente dalla Giunta regionale con D</w:t>
      </w:r>
      <w:r w:rsidR="0037328D">
        <w:rPr>
          <w:rFonts w:asciiTheme="majorHAnsi" w:eastAsia="Times New Roman" w:hAnsiTheme="majorHAnsi" w:cs="Arial"/>
          <w:sz w:val="24"/>
          <w:szCs w:val="24"/>
        </w:rPr>
        <w:t>elibera di Giunta Regionale</w:t>
      </w:r>
      <w:r w:rsidRPr="00797570">
        <w:rPr>
          <w:rFonts w:asciiTheme="majorHAnsi" w:eastAsia="Times New Roman" w:hAnsiTheme="majorHAnsi" w:cs="Arial"/>
          <w:sz w:val="24"/>
          <w:szCs w:val="24"/>
        </w:rPr>
        <w:t xml:space="preserve"> n. 2301 del 30 dicembre 2016.</w:t>
      </w:r>
    </w:p>
    <w:p w14:paraId="1282EAA9" w14:textId="77777777" w:rsidR="00F41193" w:rsidRPr="00797570" w:rsidRDefault="00F41193" w:rsidP="00F41193">
      <w:pPr>
        <w:spacing w:after="0" w:line="240" w:lineRule="auto"/>
        <w:jc w:val="both"/>
        <w:rPr>
          <w:rFonts w:asciiTheme="majorHAnsi" w:eastAsia="Times New Roman" w:hAnsiTheme="majorHAnsi" w:cs="Arial"/>
          <w:sz w:val="24"/>
          <w:szCs w:val="24"/>
        </w:rPr>
      </w:pPr>
    </w:p>
    <w:p w14:paraId="43710E44" w14:textId="77777777" w:rsidR="00F41193" w:rsidRPr="00797570" w:rsidRDefault="00F41193" w:rsidP="00F41193">
      <w:pPr>
        <w:spacing w:after="0" w:line="240" w:lineRule="auto"/>
        <w:jc w:val="both"/>
        <w:rPr>
          <w:rFonts w:asciiTheme="majorHAnsi" w:eastAsia="Times New Roman" w:hAnsiTheme="majorHAnsi" w:cs="Arial"/>
          <w:sz w:val="24"/>
          <w:szCs w:val="24"/>
        </w:rPr>
      </w:pPr>
      <w:r w:rsidRPr="00797570">
        <w:rPr>
          <w:rFonts w:asciiTheme="majorHAnsi" w:eastAsia="Times New Roman" w:hAnsiTheme="majorHAnsi" w:cs="Arial"/>
          <w:sz w:val="24"/>
          <w:szCs w:val="24"/>
        </w:rPr>
        <w:t>b) Attività di cui ai punti 1, 3, 5, 6, 7 e 8 dell’intervento n. 18 del PRA</w:t>
      </w:r>
    </w:p>
    <w:p w14:paraId="633D1B5F" w14:textId="44C41FC2" w:rsidR="00F41193" w:rsidRPr="00797570" w:rsidRDefault="00F41193" w:rsidP="00F41193">
      <w:pPr>
        <w:spacing w:after="0" w:line="240" w:lineRule="auto"/>
        <w:jc w:val="both"/>
        <w:rPr>
          <w:rFonts w:asciiTheme="majorHAnsi" w:eastAsia="Times New Roman" w:hAnsiTheme="majorHAnsi" w:cs="Arial"/>
          <w:sz w:val="24"/>
          <w:szCs w:val="24"/>
        </w:rPr>
      </w:pPr>
      <w:r w:rsidRPr="00797570">
        <w:rPr>
          <w:rFonts w:asciiTheme="majorHAnsi" w:eastAsia="Times New Roman" w:hAnsiTheme="majorHAnsi" w:cs="Arial"/>
          <w:sz w:val="24"/>
          <w:szCs w:val="24"/>
        </w:rPr>
        <w:t>Queste attività sono state perfezionate, ma per loro natura sono  sottoposte a un aggio</w:t>
      </w:r>
      <w:r w:rsidR="0037328D">
        <w:rPr>
          <w:rFonts w:asciiTheme="majorHAnsi" w:eastAsia="Times New Roman" w:hAnsiTheme="majorHAnsi" w:cs="Arial"/>
          <w:sz w:val="24"/>
          <w:szCs w:val="24"/>
        </w:rPr>
        <w:t>rnamento continuo o periodico.</w:t>
      </w:r>
    </w:p>
    <w:p w14:paraId="765B90FF" w14:textId="77777777" w:rsidR="00DC3CB2" w:rsidRDefault="00DC3CB2" w:rsidP="00F41193">
      <w:pPr>
        <w:spacing w:after="0" w:line="240" w:lineRule="auto"/>
        <w:jc w:val="both"/>
        <w:rPr>
          <w:rFonts w:asciiTheme="majorHAnsi" w:eastAsia="Times New Roman" w:hAnsiTheme="majorHAnsi" w:cs="Arial"/>
          <w:sz w:val="24"/>
          <w:szCs w:val="24"/>
        </w:rPr>
      </w:pPr>
    </w:p>
    <w:p w14:paraId="31D68292" w14:textId="77777777" w:rsidR="00DC3CB2" w:rsidRDefault="00DC3CB2" w:rsidP="00F41193">
      <w:pPr>
        <w:spacing w:after="0" w:line="240" w:lineRule="auto"/>
        <w:jc w:val="both"/>
        <w:rPr>
          <w:rFonts w:asciiTheme="majorHAnsi" w:eastAsia="Times New Roman" w:hAnsiTheme="majorHAnsi" w:cs="Arial"/>
          <w:sz w:val="24"/>
          <w:szCs w:val="24"/>
        </w:rPr>
      </w:pPr>
    </w:p>
    <w:p w14:paraId="0D5BDF4D" w14:textId="77777777" w:rsidR="00DC3CB2" w:rsidRDefault="00DC3CB2" w:rsidP="00F41193">
      <w:pPr>
        <w:spacing w:after="0" w:line="240" w:lineRule="auto"/>
        <w:jc w:val="both"/>
        <w:rPr>
          <w:rFonts w:asciiTheme="majorHAnsi" w:eastAsia="Times New Roman" w:hAnsiTheme="majorHAnsi" w:cs="Arial"/>
          <w:sz w:val="24"/>
          <w:szCs w:val="24"/>
        </w:rPr>
      </w:pPr>
    </w:p>
    <w:p w14:paraId="189252A9" w14:textId="77777777" w:rsidR="00DC3CB2" w:rsidRDefault="00DC3CB2" w:rsidP="00F41193">
      <w:pPr>
        <w:spacing w:after="0" w:line="240" w:lineRule="auto"/>
        <w:jc w:val="both"/>
        <w:rPr>
          <w:rFonts w:asciiTheme="majorHAnsi" w:eastAsia="Times New Roman" w:hAnsiTheme="majorHAnsi" w:cs="Arial"/>
          <w:sz w:val="24"/>
          <w:szCs w:val="24"/>
        </w:rPr>
      </w:pPr>
    </w:p>
    <w:p w14:paraId="4079CE06" w14:textId="77777777" w:rsidR="00DC3CB2" w:rsidRDefault="00DC3CB2" w:rsidP="00F41193">
      <w:pPr>
        <w:spacing w:after="0" w:line="240" w:lineRule="auto"/>
        <w:jc w:val="both"/>
        <w:rPr>
          <w:rFonts w:asciiTheme="majorHAnsi" w:eastAsia="Times New Roman" w:hAnsiTheme="majorHAnsi" w:cs="Arial"/>
          <w:sz w:val="24"/>
          <w:szCs w:val="24"/>
        </w:rPr>
      </w:pPr>
    </w:p>
    <w:p w14:paraId="1BE1919A" w14:textId="77777777" w:rsidR="00DC3CB2" w:rsidRDefault="00DC3CB2" w:rsidP="00F41193">
      <w:pPr>
        <w:spacing w:after="0" w:line="240" w:lineRule="auto"/>
        <w:jc w:val="both"/>
        <w:rPr>
          <w:rFonts w:asciiTheme="majorHAnsi" w:eastAsia="Times New Roman" w:hAnsiTheme="majorHAnsi" w:cs="Arial"/>
          <w:sz w:val="24"/>
          <w:szCs w:val="24"/>
        </w:rPr>
      </w:pPr>
    </w:p>
    <w:p w14:paraId="3A4FEF18" w14:textId="77777777" w:rsidR="00F41193" w:rsidRPr="00797570" w:rsidRDefault="00F41193" w:rsidP="00F41193">
      <w:pPr>
        <w:spacing w:after="0" w:line="240" w:lineRule="auto"/>
        <w:jc w:val="both"/>
        <w:rPr>
          <w:rFonts w:asciiTheme="majorHAnsi" w:eastAsia="Times New Roman" w:hAnsiTheme="majorHAnsi" w:cs="Arial"/>
          <w:sz w:val="24"/>
          <w:szCs w:val="24"/>
        </w:rPr>
      </w:pPr>
      <w:r w:rsidRPr="00797570">
        <w:rPr>
          <w:rFonts w:asciiTheme="majorHAnsi" w:eastAsia="Times New Roman" w:hAnsiTheme="majorHAnsi" w:cs="Arial"/>
          <w:sz w:val="24"/>
          <w:szCs w:val="24"/>
        </w:rPr>
        <w:t xml:space="preserve">In particolare, per le attività di cui al punto 5 (capitolati tecnici tipo per varie tipologie di opere) si stanno valutando i necessari aggiornamenti, anche alla luce delle nuove disposizioni in materia di </w:t>
      </w:r>
      <w:r w:rsidRPr="00797570">
        <w:rPr>
          <w:rFonts w:asciiTheme="majorHAnsi" w:eastAsia="Times New Roman" w:hAnsiTheme="majorHAnsi" w:cs="Arial"/>
          <w:i/>
          <w:sz w:val="24"/>
          <w:szCs w:val="24"/>
        </w:rPr>
        <w:t>green economy</w:t>
      </w:r>
      <w:r w:rsidRPr="00797570">
        <w:rPr>
          <w:rFonts w:asciiTheme="majorHAnsi" w:eastAsia="Times New Roman" w:hAnsiTheme="majorHAnsi" w:cs="Arial"/>
          <w:sz w:val="24"/>
          <w:szCs w:val="24"/>
        </w:rPr>
        <w:t>.</w:t>
      </w:r>
    </w:p>
    <w:p w14:paraId="27942E8E" w14:textId="1AE727CF" w:rsidR="00F41193" w:rsidRPr="00797570" w:rsidRDefault="00F41193" w:rsidP="00F41193">
      <w:pPr>
        <w:spacing w:after="0" w:line="240" w:lineRule="auto"/>
        <w:jc w:val="both"/>
        <w:rPr>
          <w:rFonts w:asciiTheme="majorHAnsi" w:eastAsia="Times New Roman" w:hAnsiTheme="majorHAnsi" w:cs="Arial"/>
          <w:sz w:val="24"/>
          <w:szCs w:val="24"/>
        </w:rPr>
      </w:pPr>
      <w:r w:rsidRPr="00797570">
        <w:rPr>
          <w:rFonts w:asciiTheme="majorHAnsi" w:eastAsia="Times New Roman" w:hAnsiTheme="majorHAnsi" w:cs="Arial"/>
          <w:sz w:val="24"/>
          <w:szCs w:val="24"/>
        </w:rPr>
        <w:t xml:space="preserve">La Commissione appalti, non appena costituita, nella seduta del 14.12.2016 ha proceduto, altresì, all’esame del prezzario regionale 2014, successivamente adottato dalla Giunta </w:t>
      </w:r>
      <w:r w:rsidR="0037328D">
        <w:rPr>
          <w:rFonts w:asciiTheme="majorHAnsi" w:eastAsia="Times New Roman" w:hAnsiTheme="majorHAnsi" w:cs="Arial"/>
          <w:sz w:val="24"/>
          <w:szCs w:val="24"/>
        </w:rPr>
        <w:t>regionale con D</w:t>
      </w:r>
      <w:r w:rsidRPr="00797570">
        <w:rPr>
          <w:rFonts w:asciiTheme="majorHAnsi" w:eastAsia="Times New Roman" w:hAnsiTheme="majorHAnsi" w:cs="Arial"/>
          <w:sz w:val="24"/>
          <w:szCs w:val="24"/>
        </w:rPr>
        <w:t>GR/CR n. 50 in data 8 maggio 2017.</w:t>
      </w:r>
    </w:p>
    <w:p w14:paraId="7ACAD852" w14:textId="77777777" w:rsidR="00F41193" w:rsidRDefault="00F41193" w:rsidP="00F41193">
      <w:pPr>
        <w:spacing w:after="0" w:line="240" w:lineRule="auto"/>
        <w:jc w:val="both"/>
        <w:rPr>
          <w:rFonts w:asciiTheme="majorHAnsi" w:eastAsia="Times New Roman" w:hAnsiTheme="majorHAnsi" w:cs="Times New Roman"/>
          <w:sz w:val="24"/>
          <w:szCs w:val="24"/>
        </w:rPr>
      </w:pPr>
    </w:p>
    <w:p w14:paraId="30EEE6AC" w14:textId="77777777" w:rsidR="0037328D" w:rsidRPr="0037328D" w:rsidRDefault="0037328D" w:rsidP="00F41193">
      <w:pPr>
        <w:spacing w:after="0" w:line="240" w:lineRule="auto"/>
        <w:jc w:val="both"/>
        <w:rPr>
          <w:rFonts w:asciiTheme="majorHAnsi" w:eastAsia="Times New Roman" w:hAnsiTheme="majorHAnsi" w:cs="Times New Roman"/>
          <w:sz w:val="24"/>
          <w:szCs w:val="24"/>
        </w:rPr>
      </w:pPr>
    </w:p>
    <w:p w14:paraId="45B063F0" w14:textId="1E688C85" w:rsidR="00F41193" w:rsidRPr="0037328D" w:rsidRDefault="00F41193" w:rsidP="00F41193">
      <w:pPr>
        <w:spacing w:after="0" w:line="240" w:lineRule="auto"/>
        <w:jc w:val="both"/>
        <w:rPr>
          <w:rFonts w:asciiTheme="majorHAnsi" w:eastAsia="Times New Roman" w:hAnsiTheme="majorHAnsi" w:cs="Times New Roman"/>
          <w:sz w:val="24"/>
          <w:szCs w:val="24"/>
        </w:rPr>
      </w:pPr>
      <w:r w:rsidRPr="0037328D">
        <w:rPr>
          <w:rFonts w:asciiTheme="majorHAnsi" w:eastAsia="Times New Roman" w:hAnsiTheme="majorHAnsi" w:cs="Times New Roman"/>
          <w:sz w:val="24"/>
          <w:szCs w:val="24"/>
        </w:rPr>
        <w:t>Risultano invece completati gli interventi di seguito specificati.</w:t>
      </w:r>
    </w:p>
    <w:p w14:paraId="3223B1CB" w14:textId="77777777" w:rsidR="00F41193" w:rsidRPr="0037328D" w:rsidRDefault="00F41193" w:rsidP="00F41193">
      <w:pPr>
        <w:spacing w:after="0" w:line="240" w:lineRule="auto"/>
        <w:jc w:val="both"/>
        <w:rPr>
          <w:rFonts w:asciiTheme="majorHAnsi" w:eastAsia="Times New Roman" w:hAnsiTheme="majorHAnsi" w:cs="Times New Roman"/>
          <w:sz w:val="24"/>
          <w:szCs w:val="24"/>
        </w:rPr>
      </w:pPr>
    </w:p>
    <w:p w14:paraId="3093303C" w14:textId="77777777" w:rsidR="00CB0E02" w:rsidRDefault="00317D21" w:rsidP="00317D21">
      <w:pPr>
        <w:spacing w:after="0" w:line="240" w:lineRule="auto"/>
        <w:jc w:val="both"/>
        <w:rPr>
          <w:rFonts w:asciiTheme="majorHAnsi" w:eastAsia="Times New Roman" w:hAnsiTheme="majorHAnsi" w:cs="Times New Roman"/>
          <w:b/>
          <w:sz w:val="24"/>
          <w:szCs w:val="24"/>
        </w:rPr>
      </w:pPr>
      <w:r w:rsidRPr="00797570">
        <w:rPr>
          <w:rFonts w:asciiTheme="majorHAnsi" w:eastAsia="Times New Roman" w:hAnsiTheme="majorHAnsi" w:cs="Times New Roman"/>
          <w:b/>
          <w:sz w:val="24"/>
          <w:szCs w:val="24"/>
        </w:rPr>
        <w:t>Intervento</w:t>
      </w:r>
      <w:r w:rsidR="00F41193" w:rsidRPr="00797570">
        <w:rPr>
          <w:rFonts w:asciiTheme="majorHAnsi" w:eastAsia="Times New Roman" w:hAnsiTheme="majorHAnsi" w:cs="Times New Roman"/>
          <w:b/>
          <w:sz w:val="24"/>
          <w:szCs w:val="24"/>
        </w:rPr>
        <w:t xml:space="preserve"> </w:t>
      </w:r>
      <w:r w:rsidRPr="00797570">
        <w:rPr>
          <w:rFonts w:asciiTheme="majorHAnsi" w:eastAsia="Times New Roman" w:hAnsiTheme="majorHAnsi" w:cs="Times New Roman"/>
          <w:b/>
          <w:sz w:val="24"/>
          <w:szCs w:val="24"/>
        </w:rPr>
        <w:t xml:space="preserve">n. </w:t>
      </w:r>
      <w:r w:rsidR="00F41193" w:rsidRPr="00797570">
        <w:rPr>
          <w:rFonts w:asciiTheme="majorHAnsi" w:eastAsia="Times New Roman" w:hAnsiTheme="majorHAnsi" w:cs="Times New Roman"/>
          <w:b/>
          <w:sz w:val="24"/>
          <w:szCs w:val="24"/>
        </w:rPr>
        <w:t xml:space="preserve">9 </w:t>
      </w:r>
      <w:r w:rsidRPr="00797570">
        <w:rPr>
          <w:rFonts w:asciiTheme="majorHAnsi" w:eastAsia="Times New Roman" w:hAnsiTheme="majorHAnsi" w:cs="Times New Roman"/>
          <w:b/>
          <w:sz w:val="24"/>
          <w:szCs w:val="24"/>
        </w:rPr>
        <w:t xml:space="preserve"> </w:t>
      </w:r>
      <w:r w:rsidR="00F41193" w:rsidRPr="00797570">
        <w:rPr>
          <w:rFonts w:asciiTheme="majorHAnsi" w:eastAsia="Times New Roman" w:hAnsiTheme="majorHAnsi" w:cs="Times New Roman"/>
          <w:b/>
          <w:sz w:val="24"/>
          <w:szCs w:val="24"/>
        </w:rPr>
        <w:t>“Stesura di linee guida di indirizzo procedurale del POR FESR di supporto alle SRA e ai beneficiari”</w:t>
      </w:r>
    </w:p>
    <w:p w14:paraId="19CAE33E" w14:textId="4C303EB5" w:rsidR="00317D21" w:rsidRPr="00797570" w:rsidRDefault="00CB0E02" w:rsidP="00317D21">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Intervento </w:t>
      </w:r>
      <w:r w:rsidR="00317D21" w:rsidRPr="00797570">
        <w:rPr>
          <w:rFonts w:asciiTheme="majorHAnsi" w:eastAsia="Times New Roman" w:hAnsiTheme="majorHAnsi" w:cs="Times New Roman"/>
          <w:b/>
          <w:sz w:val="24"/>
          <w:szCs w:val="24"/>
        </w:rPr>
        <w:t xml:space="preserve">n. 15 </w:t>
      </w:r>
      <w:r w:rsidR="00317D21" w:rsidRPr="00797570">
        <w:rPr>
          <w:rFonts w:asciiTheme="majorHAnsi" w:hAnsiTheme="majorHAnsi" w:cs="Times New Roman"/>
          <w:b/>
          <w:position w:val="1"/>
          <w:sz w:val="24"/>
          <w:szCs w:val="24"/>
        </w:rPr>
        <w:t>“Sistema Controlli: stesura di strumenti di interpretazione normativa e di strumenti procedurali”</w:t>
      </w:r>
    </w:p>
    <w:p w14:paraId="25BB6DF9" w14:textId="08E07324" w:rsidR="00F41193" w:rsidRPr="00797570" w:rsidRDefault="00F41193" w:rsidP="00F41193">
      <w:pPr>
        <w:spacing w:after="0" w:line="240" w:lineRule="auto"/>
        <w:jc w:val="both"/>
        <w:rPr>
          <w:rFonts w:asciiTheme="majorHAnsi" w:eastAsia="Times New Roman" w:hAnsiTheme="majorHAnsi" w:cs="Times New Roman"/>
          <w:b/>
          <w:sz w:val="24"/>
          <w:szCs w:val="24"/>
        </w:rPr>
      </w:pPr>
    </w:p>
    <w:p w14:paraId="3EF5E5E3" w14:textId="2BE380A4" w:rsidR="00F41193" w:rsidRPr="00797570" w:rsidRDefault="00F41193" w:rsidP="00F41193">
      <w:pPr>
        <w:spacing w:after="0" w:line="240" w:lineRule="auto"/>
        <w:jc w:val="both"/>
        <w:rPr>
          <w:rFonts w:asciiTheme="majorHAnsi" w:eastAsia="Times New Roman" w:hAnsiTheme="majorHAnsi" w:cs="Times New Roman"/>
          <w:sz w:val="24"/>
          <w:szCs w:val="24"/>
        </w:rPr>
      </w:pPr>
      <w:r w:rsidRPr="00797570">
        <w:rPr>
          <w:rFonts w:asciiTheme="majorHAnsi" w:eastAsia="Times New Roman" w:hAnsiTheme="majorHAnsi" w:cs="Times New Roman"/>
          <w:sz w:val="24"/>
          <w:szCs w:val="24"/>
        </w:rPr>
        <w:t>Con DGR n. 2289 del 30.12.2016 è stato approvato il SIGECO delineando il sistema di gestione e controllo del POR FESR. Successivamente, con DGR n. 226 del 28.02.2017 è stato individuato l'Organismo Intermedio, ai sensi dell’art. 123 par. 7 del Regolamento (UE) n. 1303/2013, per la gestione del POR FESR 2014-2020.</w:t>
      </w:r>
    </w:p>
    <w:p w14:paraId="41E453EB" w14:textId="77777777" w:rsidR="0029000E" w:rsidRPr="00797570" w:rsidRDefault="0029000E" w:rsidP="0029000E">
      <w:pPr>
        <w:spacing w:after="0" w:line="240" w:lineRule="auto"/>
        <w:jc w:val="both"/>
        <w:rPr>
          <w:rFonts w:asciiTheme="majorHAnsi" w:eastAsia="Times New Roman" w:hAnsiTheme="majorHAnsi" w:cs="Times New Roman"/>
          <w:b/>
          <w:sz w:val="24"/>
          <w:szCs w:val="24"/>
        </w:rPr>
      </w:pPr>
    </w:p>
    <w:p w14:paraId="594335AA" w14:textId="77777777" w:rsidR="00E74532" w:rsidRPr="00797570" w:rsidRDefault="00E74532" w:rsidP="00E74532">
      <w:pPr>
        <w:spacing w:after="0" w:line="240" w:lineRule="auto"/>
        <w:jc w:val="both"/>
        <w:rPr>
          <w:rFonts w:asciiTheme="majorHAnsi" w:eastAsia="Times New Roman" w:hAnsiTheme="majorHAnsi" w:cs="Times New Roman"/>
          <w:b/>
          <w:sz w:val="24"/>
          <w:szCs w:val="24"/>
        </w:rPr>
      </w:pPr>
      <w:r w:rsidRPr="00797570">
        <w:rPr>
          <w:rFonts w:asciiTheme="majorHAnsi" w:eastAsia="Times New Roman" w:hAnsiTheme="majorHAnsi" w:cs="Times New Roman"/>
          <w:b/>
          <w:sz w:val="24"/>
          <w:szCs w:val="24"/>
        </w:rPr>
        <w:t>Intervento 12 “Attivazione di corsi di formazione specialistici per il personale regionale dedicato alla gestione, controllo e monitoraggio dei PO”</w:t>
      </w:r>
    </w:p>
    <w:p w14:paraId="026EA649" w14:textId="77777777" w:rsidR="00E74532" w:rsidRPr="00797570" w:rsidRDefault="00E74532" w:rsidP="00E74532">
      <w:pPr>
        <w:spacing w:after="0" w:line="240" w:lineRule="auto"/>
        <w:jc w:val="both"/>
        <w:rPr>
          <w:rFonts w:asciiTheme="majorHAnsi" w:eastAsia="Times New Roman" w:hAnsiTheme="majorHAnsi" w:cs="Times New Roman"/>
          <w:b/>
          <w:sz w:val="24"/>
          <w:szCs w:val="24"/>
        </w:rPr>
      </w:pPr>
      <w:r w:rsidRPr="00797570">
        <w:rPr>
          <w:rFonts w:asciiTheme="majorHAnsi" w:eastAsia="Times New Roman" w:hAnsiTheme="majorHAnsi" w:cs="Arial"/>
          <w:sz w:val="24"/>
          <w:szCs w:val="24"/>
        </w:rPr>
        <w:t xml:space="preserve">Con i Piani di formazione la Regione del Veneto </w:t>
      </w:r>
      <w:r w:rsidRPr="00797570">
        <w:rPr>
          <w:rFonts w:asciiTheme="majorHAnsi" w:hAnsiTheme="majorHAnsi" w:cs="Times-Roman"/>
          <w:sz w:val="24"/>
          <w:szCs w:val="24"/>
        </w:rPr>
        <w:t>ha strutturato l’attività formativa come un processo sistematico e organizzativo.</w:t>
      </w:r>
      <w:r w:rsidRPr="00797570">
        <w:rPr>
          <w:rFonts w:asciiTheme="majorHAnsi" w:eastAsia="Times New Roman" w:hAnsiTheme="majorHAnsi" w:cs="Arial"/>
          <w:sz w:val="24"/>
          <w:szCs w:val="24"/>
        </w:rPr>
        <w:t xml:space="preserve"> La programmazione degli interventi si basa sulla rilevazione periodica dei fabbisogni formativi delle Strutture.</w:t>
      </w:r>
    </w:p>
    <w:p w14:paraId="69EDE4BB" w14:textId="77777777" w:rsidR="00E74532" w:rsidRPr="00797570" w:rsidRDefault="00E74532" w:rsidP="00E74532">
      <w:pPr>
        <w:spacing w:after="0" w:line="240" w:lineRule="auto"/>
        <w:jc w:val="both"/>
        <w:rPr>
          <w:rFonts w:asciiTheme="majorHAnsi" w:eastAsia="Times New Roman" w:hAnsiTheme="majorHAnsi" w:cs="Arial"/>
          <w:sz w:val="24"/>
          <w:szCs w:val="24"/>
        </w:rPr>
      </w:pPr>
      <w:r w:rsidRPr="00797570">
        <w:rPr>
          <w:rFonts w:asciiTheme="majorHAnsi" w:eastAsia="Times New Roman" w:hAnsiTheme="majorHAnsi" w:cs="Arial"/>
          <w:sz w:val="24"/>
          <w:szCs w:val="24"/>
        </w:rPr>
        <w:t>I Piani annuali 2016 e 2017 hanno rilevato i fabbisogni di rafforzamento amministrativo per sostenere la programmazione e l'attuazione dei POR.</w:t>
      </w:r>
    </w:p>
    <w:p w14:paraId="76E2B171" w14:textId="162A8E78" w:rsidR="00E74532" w:rsidRPr="00797570" w:rsidRDefault="00E74532" w:rsidP="00E74532">
      <w:pPr>
        <w:spacing w:after="0" w:line="240" w:lineRule="auto"/>
        <w:jc w:val="both"/>
        <w:rPr>
          <w:rFonts w:asciiTheme="majorHAnsi" w:eastAsia="Times New Roman" w:hAnsiTheme="majorHAnsi" w:cs="Arial"/>
          <w:sz w:val="24"/>
          <w:szCs w:val="24"/>
        </w:rPr>
      </w:pPr>
      <w:r w:rsidRPr="00797570">
        <w:rPr>
          <w:rFonts w:asciiTheme="majorHAnsi" w:eastAsia="Times New Roman" w:hAnsiTheme="majorHAnsi" w:cs="Arial"/>
          <w:sz w:val="24"/>
          <w:szCs w:val="24"/>
        </w:rPr>
        <w:t>Nel 2016 nelle aree di contenuto: progetti e bandi comunitari, amministrativo, bilancio e contabilità, contratti e appalti sono stati avviati a formazione, a livello trasversale in tutta l’Amministrazione, 903 dipendenti per un totale di 1037 giornate di formazione/ persona. La partecipazione regionale alla formazione in materia di Aiuti di Stato nel 2016 si è attestata sul centinaio di presenze.</w:t>
      </w:r>
    </w:p>
    <w:p w14:paraId="71BE31FC" w14:textId="77777777" w:rsidR="00E74532" w:rsidRPr="00797570" w:rsidRDefault="00E74532" w:rsidP="00E74532">
      <w:pPr>
        <w:spacing w:after="0" w:line="240" w:lineRule="auto"/>
        <w:jc w:val="both"/>
        <w:rPr>
          <w:rFonts w:asciiTheme="majorHAnsi" w:hAnsiTheme="majorHAnsi" w:cs="Times New Roman"/>
          <w:sz w:val="24"/>
          <w:szCs w:val="24"/>
        </w:rPr>
      </w:pPr>
      <w:r w:rsidRPr="00797570">
        <w:rPr>
          <w:rFonts w:asciiTheme="majorHAnsi" w:eastAsia="Times New Roman" w:hAnsiTheme="majorHAnsi" w:cs="Arial"/>
          <w:sz w:val="24"/>
          <w:szCs w:val="24"/>
        </w:rPr>
        <w:t xml:space="preserve">Nel dettaglio, nel 2017, alla data della rilevazione, presso le Strutture nelle quali opera personale afferente le </w:t>
      </w:r>
      <w:proofErr w:type="spellStart"/>
      <w:r w:rsidRPr="00797570">
        <w:rPr>
          <w:rFonts w:asciiTheme="majorHAnsi" w:eastAsia="Times New Roman" w:hAnsiTheme="majorHAnsi" w:cs="Arial"/>
          <w:sz w:val="24"/>
          <w:szCs w:val="24"/>
        </w:rPr>
        <w:t>AdG</w:t>
      </w:r>
      <w:proofErr w:type="spellEnd"/>
      <w:r w:rsidRPr="00797570">
        <w:rPr>
          <w:rFonts w:asciiTheme="majorHAnsi" w:eastAsia="Times New Roman" w:hAnsiTheme="majorHAnsi" w:cs="Arial"/>
          <w:sz w:val="24"/>
          <w:szCs w:val="24"/>
        </w:rPr>
        <w:t xml:space="preserve">, </w:t>
      </w:r>
      <w:proofErr w:type="spellStart"/>
      <w:r w:rsidRPr="00797570">
        <w:rPr>
          <w:rFonts w:asciiTheme="majorHAnsi" w:eastAsia="Times New Roman" w:hAnsiTheme="majorHAnsi" w:cs="Arial"/>
          <w:sz w:val="24"/>
          <w:szCs w:val="24"/>
        </w:rPr>
        <w:t>AdC</w:t>
      </w:r>
      <w:proofErr w:type="spellEnd"/>
      <w:r w:rsidRPr="00797570">
        <w:rPr>
          <w:rFonts w:asciiTheme="majorHAnsi" w:eastAsia="Times New Roman" w:hAnsiTheme="majorHAnsi" w:cs="Arial"/>
          <w:sz w:val="24"/>
          <w:szCs w:val="24"/>
        </w:rPr>
        <w:t xml:space="preserve">, </w:t>
      </w:r>
      <w:proofErr w:type="spellStart"/>
      <w:r w:rsidRPr="00797570">
        <w:rPr>
          <w:rFonts w:asciiTheme="majorHAnsi" w:eastAsia="Times New Roman" w:hAnsiTheme="majorHAnsi" w:cs="Arial"/>
          <w:sz w:val="24"/>
          <w:szCs w:val="24"/>
        </w:rPr>
        <w:t>AdA</w:t>
      </w:r>
      <w:proofErr w:type="spellEnd"/>
      <w:r w:rsidRPr="00797570">
        <w:rPr>
          <w:rFonts w:asciiTheme="majorHAnsi" w:eastAsia="Times New Roman" w:hAnsiTheme="majorHAnsi" w:cs="Arial"/>
          <w:sz w:val="24"/>
          <w:szCs w:val="24"/>
        </w:rPr>
        <w:t xml:space="preserve"> e SRA, sono stati avviati alle iniziative formative 254 partecipanti per un totale di 435 giornate di formazione/persona, come dettagliato nella tabella </w:t>
      </w:r>
      <w:r w:rsidRPr="00797570">
        <w:rPr>
          <w:rFonts w:asciiTheme="majorHAnsi" w:hAnsiTheme="majorHAnsi" w:cs="Times New Roman"/>
          <w:sz w:val="24"/>
          <w:szCs w:val="24"/>
        </w:rPr>
        <w:t>per aree di contenuto che individuano i corsi in relazione alle competenze da sviluppare.</w:t>
      </w:r>
    </w:p>
    <w:p w14:paraId="28908D01" w14:textId="77777777" w:rsidR="00E74532" w:rsidRPr="00797570" w:rsidRDefault="00E74532" w:rsidP="00E74532">
      <w:pPr>
        <w:spacing w:after="0" w:line="240" w:lineRule="auto"/>
        <w:jc w:val="both"/>
        <w:rPr>
          <w:rFonts w:asciiTheme="majorHAnsi" w:eastAsia="Times New Roman" w:hAnsiTheme="majorHAnsi" w:cs="Arial"/>
          <w:sz w:val="24"/>
          <w:szCs w:val="24"/>
        </w:rPr>
      </w:pPr>
    </w:p>
    <w:tbl>
      <w:tblPr>
        <w:tblW w:w="9700" w:type="dxa"/>
        <w:tblInd w:w="60" w:type="dxa"/>
        <w:tblCellMar>
          <w:left w:w="70" w:type="dxa"/>
          <w:right w:w="70" w:type="dxa"/>
        </w:tblCellMar>
        <w:tblLook w:val="04A0" w:firstRow="1" w:lastRow="0" w:firstColumn="1" w:lastColumn="0" w:noHBand="0" w:noVBand="1"/>
      </w:tblPr>
      <w:tblGrid>
        <w:gridCol w:w="4620"/>
        <w:gridCol w:w="2000"/>
        <w:gridCol w:w="3080"/>
      </w:tblGrid>
      <w:tr w:rsidR="00932E7D" w:rsidRPr="00797570" w14:paraId="1879FB34" w14:textId="77777777" w:rsidTr="002F558D">
        <w:trPr>
          <w:trHeight w:val="255"/>
        </w:trPr>
        <w:tc>
          <w:tcPr>
            <w:tcW w:w="46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C7E2DF6" w14:textId="77777777" w:rsidR="00E74532" w:rsidRPr="00797570" w:rsidRDefault="00E74532" w:rsidP="002F558D">
            <w:pPr>
              <w:spacing w:after="0" w:line="240" w:lineRule="auto"/>
              <w:jc w:val="center"/>
              <w:rPr>
                <w:rFonts w:asciiTheme="majorHAnsi" w:eastAsia="Times New Roman" w:hAnsiTheme="majorHAnsi" w:cs="Times New Roman"/>
                <w:b/>
                <w:bCs/>
                <w:sz w:val="18"/>
                <w:szCs w:val="18"/>
              </w:rPr>
            </w:pPr>
            <w:r w:rsidRPr="00797570">
              <w:rPr>
                <w:rFonts w:asciiTheme="majorHAnsi" w:hAnsiTheme="majorHAnsi" w:cs="Times New Roman"/>
              </w:rPr>
              <w:t xml:space="preserve">Aree di contenuto </w:t>
            </w:r>
            <w:r w:rsidRPr="00797570">
              <w:rPr>
                <w:rFonts w:asciiTheme="majorHAnsi" w:eastAsia="Times New Roman" w:hAnsiTheme="majorHAnsi" w:cs="Times New Roman"/>
                <w:b/>
                <w:bCs/>
                <w:sz w:val="18"/>
                <w:szCs w:val="18"/>
              </w:rPr>
              <w:t>2017</w:t>
            </w:r>
          </w:p>
        </w:tc>
        <w:tc>
          <w:tcPr>
            <w:tcW w:w="2000" w:type="dxa"/>
            <w:tcBorders>
              <w:top w:val="single" w:sz="8" w:space="0" w:color="auto"/>
              <w:left w:val="nil"/>
              <w:bottom w:val="single" w:sz="8" w:space="0" w:color="auto"/>
              <w:right w:val="single" w:sz="4" w:space="0" w:color="auto"/>
            </w:tcBorders>
            <w:shd w:val="clear" w:color="auto" w:fill="auto"/>
            <w:noWrap/>
            <w:vAlign w:val="bottom"/>
            <w:hideMark/>
          </w:tcPr>
          <w:p w14:paraId="1FB624F7" w14:textId="77777777" w:rsidR="00E74532" w:rsidRPr="00797570" w:rsidRDefault="00E74532" w:rsidP="002F558D">
            <w:pPr>
              <w:spacing w:after="0" w:line="240" w:lineRule="auto"/>
              <w:jc w:val="center"/>
              <w:rPr>
                <w:rFonts w:asciiTheme="majorHAnsi" w:eastAsia="Times New Roman" w:hAnsiTheme="majorHAnsi" w:cs="Times New Roman"/>
                <w:b/>
                <w:bCs/>
                <w:sz w:val="18"/>
                <w:szCs w:val="18"/>
              </w:rPr>
            </w:pPr>
            <w:r w:rsidRPr="00797570">
              <w:rPr>
                <w:rFonts w:asciiTheme="majorHAnsi" w:eastAsia="Times New Roman" w:hAnsiTheme="majorHAnsi" w:cs="Times New Roman"/>
                <w:b/>
                <w:bCs/>
                <w:sz w:val="18"/>
                <w:szCs w:val="18"/>
              </w:rPr>
              <w:t>Partecipanti</w:t>
            </w:r>
          </w:p>
        </w:tc>
        <w:tc>
          <w:tcPr>
            <w:tcW w:w="3080" w:type="dxa"/>
            <w:tcBorders>
              <w:top w:val="single" w:sz="8" w:space="0" w:color="auto"/>
              <w:left w:val="nil"/>
              <w:bottom w:val="single" w:sz="8" w:space="0" w:color="auto"/>
              <w:right w:val="single" w:sz="8" w:space="0" w:color="auto"/>
            </w:tcBorders>
            <w:shd w:val="clear" w:color="auto" w:fill="auto"/>
            <w:noWrap/>
            <w:vAlign w:val="bottom"/>
            <w:hideMark/>
          </w:tcPr>
          <w:p w14:paraId="29B4CF1B" w14:textId="77777777" w:rsidR="00E74532" w:rsidRPr="00797570" w:rsidRDefault="00E74532" w:rsidP="002F558D">
            <w:pPr>
              <w:spacing w:after="0" w:line="240" w:lineRule="auto"/>
              <w:jc w:val="center"/>
              <w:rPr>
                <w:rFonts w:asciiTheme="majorHAnsi" w:eastAsia="Times New Roman" w:hAnsiTheme="majorHAnsi" w:cs="Times New Roman"/>
                <w:b/>
                <w:bCs/>
                <w:sz w:val="18"/>
                <w:szCs w:val="18"/>
              </w:rPr>
            </w:pPr>
            <w:r w:rsidRPr="00797570">
              <w:rPr>
                <w:rFonts w:asciiTheme="majorHAnsi" w:eastAsia="Times New Roman" w:hAnsiTheme="majorHAnsi" w:cs="Times New Roman"/>
                <w:b/>
                <w:bCs/>
                <w:sz w:val="18"/>
                <w:szCs w:val="18"/>
              </w:rPr>
              <w:t>Giornate di formazione/ persona</w:t>
            </w:r>
          </w:p>
        </w:tc>
      </w:tr>
      <w:tr w:rsidR="00932E7D" w:rsidRPr="00797570" w14:paraId="06C29836" w14:textId="77777777" w:rsidTr="002F558D">
        <w:trPr>
          <w:trHeight w:val="24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1AA6BCCE" w14:textId="77777777" w:rsidR="00E74532" w:rsidRPr="00797570" w:rsidRDefault="00E74532" w:rsidP="002F558D">
            <w:pPr>
              <w:spacing w:after="0" w:line="240" w:lineRule="auto"/>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Area diritto amministrativo</w:t>
            </w:r>
          </w:p>
        </w:tc>
        <w:tc>
          <w:tcPr>
            <w:tcW w:w="2000" w:type="dxa"/>
            <w:tcBorders>
              <w:top w:val="nil"/>
              <w:left w:val="nil"/>
              <w:bottom w:val="single" w:sz="4" w:space="0" w:color="auto"/>
              <w:right w:val="single" w:sz="4" w:space="0" w:color="auto"/>
            </w:tcBorders>
            <w:shd w:val="clear" w:color="auto" w:fill="auto"/>
            <w:noWrap/>
            <w:vAlign w:val="bottom"/>
            <w:hideMark/>
          </w:tcPr>
          <w:p w14:paraId="09A5E62F"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130</w:t>
            </w:r>
          </w:p>
        </w:tc>
        <w:tc>
          <w:tcPr>
            <w:tcW w:w="3080" w:type="dxa"/>
            <w:tcBorders>
              <w:top w:val="nil"/>
              <w:left w:val="nil"/>
              <w:bottom w:val="single" w:sz="4" w:space="0" w:color="auto"/>
              <w:right w:val="single" w:sz="4" w:space="0" w:color="auto"/>
            </w:tcBorders>
            <w:shd w:val="clear" w:color="auto" w:fill="auto"/>
            <w:noWrap/>
            <w:vAlign w:val="bottom"/>
            <w:hideMark/>
          </w:tcPr>
          <w:p w14:paraId="3C7C4728"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219</w:t>
            </w:r>
          </w:p>
        </w:tc>
      </w:tr>
      <w:tr w:rsidR="00932E7D" w:rsidRPr="00797570" w14:paraId="1CB98E47" w14:textId="77777777" w:rsidTr="002F558D">
        <w:trPr>
          <w:trHeight w:val="24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7255F873" w14:textId="77777777" w:rsidR="00E74532" w:rsidRPr="00797570" w:rsidRDefault="00E74532" w:rsidP="002F558D">
            <w:pPr>
              <w:spacing w:after="0" w:line="240" w:lineRule="auto"/>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Area Ambiente/LLPP/Mobilità/Territorio</w:t>
            </w:r>
          </w:p>
        </w:tc>
        <w:tc>
          <w:tcPr>
            <w:tcW w:w="2000" w:type="dxa"/>
            <w:tcBorders>
              <w:top w:val="nil"/>
              <w:left w:val="nil"/>
              <w:bottom w:val="single" w:sz="4" w:space="0" w:color="auto"/>
              <w:right w:val="single" w:sz="4" w:space="0" w:color="auto"/>
            </w:tcBorders>
            <w:shd w:val="clear" w:color="auto" w:fill="auto"/>
            <w:noWrap/>
            <w:vAlign w:val="bottom"/>
            <w:hideMark/>
          </w:tcPr>
          <w:p w14:paraId="672953C1"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2</w:t>
            </w:r>
          </w:p>
        </w:tc>
        <w:tc>
          <w:tcPr>
            <w:tcW w:w="3080" w:type="dxa"/>
            <w:tcBorders>
              <w:top w:val="nil"/>
              <w:left w:val="nil"/>
              <w:bottom w:val="single" w:sz="4" w:space="0" w:color="auto"/>
              <w:right w:val="single" w:sz="4" w:space="0" w:color="auto"/>
            </w:tcBorders>
            <w:shd w:val="clear" w:color="auto" w:fill="auto"/>
            <w:noWrap/>
            <w:vAlign w:val="bottom"/>
            <w:hideMark/>
          </w:tcPr>
          <w:p w14:paraId="377EF63F"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12</w:t>
            </w:r>
          </w:p>
        </w:tc>
      </w:tr>
      <w:tr w:rsidR="00932E7D" w:rsidRPr="00797570" w14:paraId="0740EB5F" w14:textId="77777777" w:rsidTr="002F558D">
        <w:trPr>
          <w:trHeight w:val="24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159406E6" w14:textId="77777777" w:rsidR="00E74532" w:rsidRPr="00797570" w:rsidRDefault="00E74532" w:rsidP="002F558D">
            <w:pPr>
              <w:spacing w:after="0" w:line="240" w:lineRule="auto"/>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Area Applicativi di settore</w:t>
            </w:r>
          </w:p>
        </w:tc>
        <w:tc>
          <w:tcPr>
            <w:tcW w:w="2000" w:type="dxa"/>
            <w:tcBorders>
              <w:top w:val="nil"/>
              <w:left w:val="nil"/>
              <w:bottom w:val="single" w:sz="4" w:space="0" w:color="auto"/>
              <w:right w:val="single" w:sz="4" w:space="0" w:color="auto"/>
            </w:tcBorders>
            <w:shd w:val="clear" w:color="auto" w:fill="auto"/>
            <w:noWrap/>
            <w:vAlign w:val="bottom"/>
            <w:hideMark/>
          </w:tcPr>
          <w:p w14:paraId="6AD95582"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1</w:t>
            </w:r>
          </w:p>
        </w:tc>
        <w:tc>
          <w:tcPr>
            <w:tcW w:w="3080" w:type="dxa"/>
            <w:tcBorders>
              <w:top w:val="nil"/>
              <w:left w:val="nil"/>
              <w:bottom w:val="single" w:sz="4" w:space="0" w:color="auto"/>
              <w:right w:val="single" w:sz="4" w:space="0" w:color="auto"/>
            </w:tcBorders>
            <w:shd w:val="clear" w:color="auto" w:fill="auto"/>
            <w:noWrap/>
            <w:vAlign w:val="bottom"/>
            <w:hideMark/>
          </w:tcPr>
          <w:p w14:paraId="2EB23FA8"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3</w:t>
            </w:r>
          </w:p>
        </w:tc>
      </w:tr>
      <w:tr w:rsidR="00932E7D" w:rsidRPr="00797570" w14:paraId="425CCA23" w14:textId="77777777" w:rsidTr="002F558D">
        <w:trPr>
          <w:trHeight w:val="24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60925F18" w14:textId="77777777" w:rsidR="00E74532" w:rsidRPr="00797570" w:rsidRDefault="00E74532" w:rsidP="002F558D">
            <w:pPr>
              <w:spacing w:after="0" w:line="240" w:lineRule="auto"/>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Area informatica-telematica-office base e avanzato</w:t>
            </w:r>
          </w:p>
        </w:tc>
        <w:tc>
          <w:tcPr>
            <w:tcW w:w="2000" w:type="dxa"/>
            <w:tcBorders>
              <w:top w:val="nil"/>
              <w:left w:val="nil"/>
              <w:bottom w:val="single" w:sz="4" w:space="0" w:color="auto"/>
              <w:right w:val="single" w:sz="4" w:space="0" w:color="auto"/>
            </w:tcBorders>
            <w:shd w:val="clear" w:color="auto" w:fill="auto"/>
            <w:noWrap/>
            <w:vAlign w:val="bottom"/>
            <w:hideMark/>
          </w:tcPr>
          <w:p w14:paraId="6A5715C6"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64</w:t>
            </w:r>
          </w:p>
        </w:tc>
        <w:tc>
          <w:tcPr>
            <w:tcW w:w="3080" w:type="dxa"/>
            <w:tcBorders>
              <w:top w:val="nil"/>
              <w:left w:val="nil"/>
              <w:bottom w:val="single" w:sz="4" w:space="0" w:color="auto"/>
              <w:right w:val="single" w:sz="4" w:space="0" w:color="auto"/>
            </w:tcBorders>
            <w:shd w:val="clear" w:color="auto" w:fill="auto"/>
            <w:noWrap/>
            <w:vAlign w:val="bottom"/>
            <w:hideMark/>
          </w:tcPr>
          <w:p w14:paraId="29EB4903"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107</w:t>
            </w:r>
          </w:p>
        </w:tc>
      </w:tr>
      <w:tr w:rsidR="00932E7D" w:rsidRPr="00797570" w14:paraId="79FDD592" w14:textId="77777777" w:rsidTr="002F558D">
        <w:trPr>
          <w:trHeight w:val="24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7CC37694" w14:textId="77777777" w:rsidR="00E74532" w:rsidRPr="00797570" w:rsidRDefault="00E74532" w:rsidP="002F558D">
            <w:pPr>
              <w:spacing w:after="0" w:line="240" w:lineRule="auto"/>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Area Bilancio e Contabilità</w:t>
            </w:r>
          </w:p>
        </w:tc>
        <w:tc>
          <w:tcPr>
            <w:tcW w:w="2000" w:type="dxa"/>
            <w:tcBorders>
              <w:top w:val="nil"/>
              <w:left w:val="nil"/>
              <w:bottom w:val="single" w:sz="4" w:space="0" w:color="auto"/>
              <w:right w:val="single" w:sz="4" w:space="0" w:color="auto"/>
            </w:tcBorders>
            <w:shd w:val="clear" w:color="auto" w:fill="auto"/>
            <w:noWrap/>
            <w:vAlign w:val="bottom"/>
            <w:hideMark/>
          </w:tcPr>
          <w:p w14:paraId="71A9121C"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9</w:t>
            </w:r>
          </w:p>
        </w:tc>
        <w:tc>
          <w:tcPr>
            <w:tcW w:w="3080" w:type="dxa"/>
            <w:tcBorders>
              <w:top w:val="nil"/>
              <w:left w:val="nil"/>
              <w:bottom w:val="single" w:sz="4" w:space="0" w:color="auto"/>
              <w:right w:val="single" w:sz="4" w:space="0" w:color="auto"/>
            </w:tcBorders>
            <w:shd w:val="clear" w:color="auto" w:fill="auto"/>
            <w:noWrap/>
            <w:vAlign w:val="bottom"/>
            <w:hideMark/>
          </w:tcPr>
          <w:p w14:paraId="7E28B03B"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6</w:t>
            </w:r>
          </w:p>
        </w:tc>
      </w:tr>
      <w:tr w:rsidR="00932E7D" w:rsidRPr="00797570" w14:paraId="24261480" w14:textId="77777777" w:rsidTr="002F558D">
        <w:trPr>
          <w:trHeight w:val="24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19F731E9" w14:textId="77777777" w:rsidR="00E74532" w:rsidRPr="00797570" w:rsidRDefault="00E74532" w:rsidP="002F558D">
            <w:pPr>
              <w:spacing w:after="0" w:line="240" w:lineRule="auto"/>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Area Cultura</w:t>
            </w:r>
          </w:p>
        </w:tc>
        <w:tc>
          <w:tcPr>
            <w:tcW w:w="2000" w:type="dxa"/>
            <w:tcBorders>
              <w:top w:val="nil"/>
              <w:left w:val="nil"/>
              <w:bottom w:val="single" w:sz="4" w:space="0" w:color="auto"/>
              <w:right w:val="single" w:sz="4" w:space="0" w:color="auto"/>
            </w:tcBorders>
            <w:shd w:val="clear" w:color="auto" w:fill="auto"/>
            <w:noWrap/>
            <w:vAlign w:val="bottom"/>
            <w:hideMark/>
          </w:tcPr>
          <w:p w14:paraId="3B427277"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2</w:t>
            </w:r>
          </w:p>
        </w:tc>
        <w:tc>
          <w:tcPr>
            <w:tcW w:w="3080" w:type="dxa"/>
            <w:tcBorders>
              <w:top w:val="nil"/>
              <w:left w:val="nil"/>
              <w:bottom w:val="single" w:sz="4" w:space="0" w:color="auto"/>
              <w:right w:val="single" w:sz="4" w:space="0" w:color="auto"/>
            </w:tcBorders>
            <w:shd w:val="clear" w:color="auto" w:fill="auto"/>
            <w:noWrap/>
            <w:vAlign w:val="bottom"/>
            <w:hideMark/>
          </w:tcPr>
          <w:p w14:paraId="7F2E0942"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5</w:t>
            </w:r>
          </w:p>
        </w:tc>
      </w:tr>
      <w:tr w:rsidR="00932E7D" w:rsidRPr="00797570" w14:paraId="68B18D9C" w14:textId="77777777" w:rsidTr="002F558D">
        <w:trPr>
          <w:trHeight w:val="24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63ED3F26" w14:textId="77777777" w:rsidR="00E74532" w:rsidRPr="00797570" w:rsidRDefault="00E74532" w:rsidP="002F558D">
            <w:pPr>
              <w:spacing w:after="0" w:line="240" w:lineRule="auto"/>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Area Finanza e Tributi</w:t>
            </w:r>
          </w:p>
        </w:tc>
        <w:tc>
          <w:tcPr>
            <w:tcW w:w="2000" w:type="dxa"/>
            <w:tcBorders>
              <w:top w:val="nil"/>
              <w:left w:val="nil"/>
              <w:bottom w:val="single" w:sz="4" w:space="0" w:color="auto"/>
              <w:right w:val="single" w:sz="4" w:space="0" w:color="auto"/>
            </w:tcBorders>
            <w:shd w:val="clear" w:color="auto" w:fill="auto"/>
            <w:noWrap/>
            <w:vAlign w:val="bottom"/>
            <w:hideMark/>
          </w:tcPr>
          <w:p w14:paraId="1F9C8E0A"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1</w:t>
            </w:r>
          </w:p>
        </w:tc>
        <w:tc>
          <w:tcPr>
            <w:tcW w:w="3080" w:type="dxa"/>
            <w:tcBorders>
              <w:top w:val="nil"/>
              <w:left w:val="nil"/>
              <w:bottom w:val="single" w:sz="4" w:space="0" w:color="auto"/>
              <w:right w:val="single" w:sz="4" w:space="0" w:color="auto"/>
            </w:tcBorders>
            <w:shd w:val="clear" w:color="auto" w:fill="auto"/>
            <w:noWrap/>
            <w:vAlign w:val="bottom"/>
            <w:hideMark/>
          </w:tcPr>
          <w:p w14:paraId="5401EB6D"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1</w:t>
            </w:r>
          </w:p>
        </w:tc>
      </w:tr>
      <w:tr w:rsidR="00932E7D" w:rsidRPr="00797570" w14:paraId="46AF6714" w14:textId="77777777" w:rsidTr="002F558D">
        <w:trPr>
          <w:trHeight w:val="24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7E9291C7" w14:textId="77777777" w:rsidR="00E74532" w:rsidRPr="00797570" w:rsidRDefault="00E74532" w:rsidP="002F558D">
            <w:pPr>
              <w:spacing w:after="0" w:line="240" w:lineRule="auto"/>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lastRenderedPageBreak/>
              <w:t>Area Contratti e Appalti</w:t>
            </w:r>
          </w:p>
        </w:tc>
        <w:tc>
          <w:tcPr>
            <w:tcW w:w="2000" w:type="dxa"/>
            <w:tcBorders>
              <w:top w:val="nil"/>
              <w:left w:val="nil"/>
              <w:bottom w:val="single" w:sz="4" w:space="0" w:color="auto"/>
              <w:right w:val="single" w:sz="4" w:space="0" w:color="auto"/>
            </w:tcBorders>
            <w:shd w:val="clear" w:color="auto" w:fill="auto"/>
            <w:noWrap/>
            <w:vAlign w:val="bottom"/>
            <w:hideMark/>
          </w:tcPr>
          <w:p w14:paraId="57EF8603"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34</w:t>
            </w:r>
          </w:p>
        </w:tc>
        <w:tc>
          <w:tcPr>
            <w:tcW w:w="3080" w:type="dxa"/>
            <w:tcBorders>
              <w:top w:val="nil"/>
              <w:left w:val="nil"/>
              <w:bottom w:val="single" w:sz="4" w:space="0" w:color="auto"/>
              <w:right w:val="single" w:sz="4" w:space="0" w:color="auto"/>
            </w:tcBorders>
            <w:shd w:val="clear" w:color="auto" w:fill="auto"/>
            <w:noWrap/>
            <w:vAlign w:val="bottom"/>
            <w:hideMark/>
          </w:tcPr>
          <w:p w14:paraId="1AF5118F"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54</w:t>
            </w:r>
          </w:p>
        </w:tc>
      </w:tr>
      <w:tr w:rsidR="00932E7D" w:rsidRPr="00797570" w14:paraId="1ED5F917" w14:textId="77777777" w:rsidTr="002F558D">
        <w:trPr>
          <w:trHeight w:val="24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521232B8" w14:textId="77777777" w:rsidR="00E74532" w:rsidRPr="00797570" w:rsidRDefault="00E74532" w:rsidP="002F558D">
            <w:pPr>
              <w:spacing w:after="0" w:line="240" w:lineRule="auto"/>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Area Organizzazione e Sviluppo RSU</w:t>
            </w:r>
          </w:p>
        </w:tc>
        <w:tc>
          <w:tcPr>
            <w:tcW w:w="2000" w:type="dxa"/>
            <w:tcBorders>
              <w:top w:val="nil"/>
              <w:left w:val="nil"/>
              <w:bottom w:val="single" w:sz="4" w:space="0" w:color="auto"/>
              <w:right w:val="single" w:sz="4" w:space="0" w:color="auto"/>
            </w:tcBorders>
            <w:shd w:val="clear" w:color="auto" w:fill="auto"/>
            <w:noWrap/>
            <w:vAlign w:val="bottom"/>
            <w:hideMark/>
          </w:tcPr>
          <w:p w14:paraId="1F30AF7D"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2</w:t>
            </w:r>
          </w:p>
        </w:tc>
        <w:tc>
          <w:tcPr>
            <w:tcW w:w="3080" w:type="dxa"/>
            <w:tcBorders>
              <w:top w:val="nil"/>
              <w:left w:val="nil"/>
              <w:bottom w:val="single" w:sz="4" w:space="0" w:color="auto"/>
              <w:right w:val="single" w:sz="4" w:space="0" w:color="auto"/>
            </w:tcBorders>
            <w:shd w:val="clear" w:color="auto" w:fill="auto"/>
            <w:noWrap/>
            <w:vAlign w:val="bottom"/>
            <w:hideMark/>
          </w:tcPr>
          <w:p w14:paraId="29C8FE71"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4</w:t>
            </w:r>
          </w:p>
        </w:tc>
      </w:tr>
      <w:tr w:rsidR="00932E7D" w:rsidRPr="00797570" w14:paraId="12BF6277" w14:textId="77777777" w:rsidTr="002F558D">
        <w:trPr>
          <w:trHeight w:val="24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11C19823" w14:textId="77777777" w:rsidR="00E74532" w:rsidRPr="00797570" w:rsidRDefault="00E74532" w:rsidP="002F558D">
            <w:pPr>
              <w:spacing w:after="0" w:line="240" w:lineRule="auto"/>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Area Progetti e Bandi Comunitari</w:t>
            </w:r>
          </w:p>
        </w:tc>
        <w:tc>
          <w:tcPr>
            <w:tcW w:w="2000" w:type="dxa"/>
            <w:tcBorders>
              <w:top w:val="nil"/>
              <w:left w:val="nil"/>
              <w:bottom w:val="single" w:sz="4" w:space="0" w:color="auto"/>
              <w:right w:val="single" w:sz="4" w:space="0" w:color="auto"/>
            </w:tcBorders>
            <w:shd w:val="clear" w:color="auto" w:fill="auto"/>
            <w:noWrap/>
            <w:vAlign w:val="bottom"/>
            <w:hideMark/>
          </w:tcPr>
          <w:p w14:paraId="4AF633B5"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4</w:t>
            </w:r>
          </w:p>
        </w:tc>
        <w:tc>
          <w:tcPr>
            <w:tcW w:w="3080" w:type="dxa"/>
            <w:tcBorders>
              <w:top w:val="nil"/>
              <w:left w:val="nil"/>
              <w:bottom w:val="single" w:sz="4" w:space="0" w:color="auto"/>
              <w:right w:val="single" w:sz="4" w:space="0" w:color="auto"/>
            </w:tcBorders>
            <w:shd w:val="clear" w:color="auto" w:fill="auto"/>
            <w:noWrap/>
            <w:vAlign w:val="bottom"/>
            <w:hideMark/>
          </w:tcPr>
          <w:p w14:paraId="622A7B0C"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12</w:t>
            </w:r>
          </w:p>
        </w:tc>
      </w:tr>
      <w:tr w:rsidR="00932E7D" w:rsidRPr="00797570" w14:paraId="06E54AA7" w14:textId="77777777" w:rsidTr="002F558D">
        <w:trPr>
          <w:trHeight w:val="240"/>
        </w:trPr>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1204F" w14:textId="77777777" w:rsidR="00E74532" w:rsidRPr="00797570" w:rsidRDefault="00E74532" w:rsidP="002F558D">
            <w:pPr>
              <w:spacing w:after="0" w:line="240" w:lineRule="auto"/>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Area Sviluppo della dirigenza</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1EB14F91"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5</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1346317D" w14:textId="77777777" w:rsidR="00E74532" w:rsidRPr="00797570" w:rsidRDefault="00E74532" w:rsidP="002F558D">
            <w:pPr>
              <w:spacing w:after="0" w:line="240" w:lineRule="auto"/>
              <w:jc w:val="center"/>
              <w:rPr>
                <w:rFonts w:asciiTheme="majorHAnsi" w:eastAsia="Times New Roman" w:hAnsiTheme="majorHAnsi" w:cs="Times New Roman"/>
                <w:sz w:val="18"/>
                <w:szCs w:val="18"/>
              </w:rPr>
            </w:pPr>
            <w:r w:rsidRPr="00797570">
              <w:rPr>
                <w:rFonts w:asciiTheme="majorHAnsi" w:eastAsia="Times New Roman" w:hAnsiTheme="majorHAnsi" w:cs="Times New Roman"/>
                <w:sz w:val="18"/>
                <w:szCs w:val="18"/>
              </w:rPr>
              <w:t>12</w:t>
            </w:r>
          </w:p>
        </w:tc>
      </w:tr>
    </w:tbl>
    <w:p w14:paraId="256D8BA9" w14:textId="77777777" w:rsidR="00E74532" w:rsidRPr="00797570" w:rsidRDefault="00E74532" w:rsidP="00E74532">
      <w:pPr>
        <w:spacing w:after="0" w:line="240" w:lineRule="auto"/>
        <w:jc w:val="both"/>
        <w:rPr>
          <w:rFonts w:asciiTheme="majorHAnsi" w:eastAsia="Times New Roman" w:hAnsiTheme="majorHAnsi" w:cs="Arial"/>
          <w:sz w:val="24"/>
          <w:szCs w:val="24"/>
        </w:rPr>
      </w:pPr>
    </w:p>
    <w:p w14:paraId="7693A590" w14:textId="77777777" w:rsidR="00E74532" w:rsidRPr="00797570" w:rsidRDefault="00E74532" w:rsidP="00E74532">
      <w:pPr>
        <w:spacing w:after="0" w:line="240" w:lineRule="auto"/>
        <w:jc w:val="both"/>
        <w:rPr>
          <w:rFonts w:asciiTheme="majorHAnsi" w:eastAsia="Times New Roman" w:hAnsiTheme="majorHAnsi" w:cs="Arial"/>
          <w:sz w:val="24"/>
          <w:szCs w:val="24"/>
        </w:rPr>
      </w:pPr>
      <w:r w:rsidRPr="00797570">
        <w:rPr>
          <w:rFonts w:asciiTheme="majorHAnsi" w:eastAsia="Times New Roman" w:hAnsiTheme="majorHAnsi" w:cs="Arial"/>
          <w:sz w:val="24"/>
          <w:szCs w:val="24"/>
        </w:rPr>
        <w:t>Hanno partecipato alla formazione specifica in materia di Aiuti di Stato una ventina di persone.</w:t>
      </w:r>
    </w:p>
    <w:p w14:paraId="194376FB" w14:textId="77777777" w:rsidR="00E74532" w:rsidRPr="00797570" w:rsidRDefault="00E74532" w:rsidP="00E74532">
      <w:pPr>
        <w:spacing w:after="0" w:line="240" w:lineRule="auto"/>
        <w:jc w:val="both"/>
        <w:rPr>
          <w:rFonts w:asciiTheme="majorHAnsi" w:eastAsia="Times New Roman" w:hAnsiTheme="majorHAnsi" w:cs="Arial"/>
          <w:sz w:val="24"/>
          <w:szCs w:val="24"/>
        </w:rPr>
      </w:pPr>
      <w:r w:rsidRPr="00797570">
        <w:rPr>
          <w:rFonts w:asciiTheme="majorHAnsi" w:eastAsia="Times New Roman" w:hAnsiTheme="majorHAnsi" w:cs="Arial"/>
          <w:sz w:val="24"/>
          <w:szCs w:val="24"/>
        </w:rPr>
        <w:t>Sono state inoltre definite, ed in fase di erogazione, due attività formative in materia di Euro-progettazione e Fondi Comunitari e di lingua straniera.</w:t>
      </w:r>
    </w:p>
    <w:p w14:paraId="4C3843CA" w14:textId="77777777" w:rsidR="00E74532" w:rsidRPr="00797570" w:rsidRDefault="00E74532" w:rsidP="00E74532">
      <w:pPr>
        <w:spacing w:after="0" w:line="240" w:lineRule="auto"/>
        <w:jc w:val="both"/>
        <w:rPr>
          <w:rFonts w:asciiTheme="majorHAnsi" w:eastAsia="Times New Roman" w:hAnsiTheme="majorHAnsi" w:cs="Arial"/>
          <w:strike/>
          <w:sz w:val="24"/>
          <w:szCs w:val="24"/>
        </w:rPr>
      </w:pPr>
      <w:r w:rsidRPr="00797570">
        <w:rPr>
          <w:rFonts w:asciiTheme="majorHAnsi" w:eastAsia="Times New Roman" w:hAnsiTheme="majorHAnsi" w:cs="Arial"/>
          <w:sz w:val="24"/>
          <w:szCs w:val="24"/>
        </w:rPr>
        <w:t xml:space="preserve">Inoltre è stato elaborato un Programma Formativo specifico con le attività da sviluppare per i soggetti dedicati alla gestione, al controllo e al monitoraggio dei POR. </w:t>
      </w:r>
    </w:p>
    <w:p w14:paraId="210F5B06" w14:textId="77777777" w:rsidR="00AC7AC4" w:rsidRPr="00797570" w:rsidRDefault="00AC7AC4" w:rsidP="00AC7AC4">
      <w:pPr>
        <w:spacing w:after="0" w:line="240" w:lineRule="auto"/>
        <w:jc w:val="both"/>
        <w:rPr>
          <w:rFonts w:asciiTheme="majorHAnsi" w:eastAsia="Times New Roman" w:hAnsiTheme="majorHAnsi" w:cs="Times New Roman"/>
          <w:sz w:val="24"/>
          <w:szCs w:val="24"/>
        </w:rPr>
      </w:pPr>
    </w:p>
    <w:p w14:paraId="216434B0" w14:textId="77777777" w:rsidR="00CB0E02" w:rsidRPr="00A42534" w:rsidRDefault="00CB0E02" w:rsidP="00CB0E02">
      <w:pPr>
        <w:spacing w:after="0" w:line="240" w:lineRule="auto"/>
        <w:jc w:val="both"/>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Intervento 19 “Sistema di valutazione interno del personale con collegamento degli obiettivi del personale alle performance dei PO”</w:t>
      </w:r>
    </w:p>
    <w:p w14:paraId="1C46013B" w14:textId="77777777" w:rsidR="00CB0E02" w:rsidRDefault="00CB0E02" w:rsidP="00CB0E02">
      <w:pPr>
        <w:spacing w:after="0" w:line="240" w:lineRule="auto"/>
        <w:jc w:val="both"/>
        <w:rPr>
          <w:rFonts w:asciiTheme="majorHAnsi" w:eastAsia="Times New Roman" w:hAnsiTheme="majorHAnsi" w:cs="Times New Roman"/>
          <w:sz w:val="24"/>
          <w:szCs w:val="24"/>
        </w:rPr>
      </w:pPr>
      <w:r w:rsidRPr="004733CF">
        <w:rPr>
          <w:rFonts w:asciiTheme="majorHAnsi" w:eastAsia="Times New Roman" w:hAnsiTheme="majorHAnsi" w:cs="Times New Roman"/>
          <w:sz w:val="24"/>
          <w:szCs w:val="24"/>
        </w:rPr>
        <w:t>All’interno del Piano delle Performance 2017 – 2019, aggiornamento 2017</w:t>
      </w:r>
      <w:r>
        <w:rPr>
          <w:rFonts w:asciiTheme="majorHAnsi" w:eastAsia="Times New Roman" w:hAnsiTheme="majorHAnsi" w:cs="Times New Roman"/>
          <w:sz w:val="24"/>
          <w:szCs w:val="24"/>
        </w:rPr>
        <w:t>, approvato con DGR n. 355  del 23/3/2017,</w:t>
      </w:r>
      <w:r w:rsidRPr="004733CF">
        <w:rPr>
          <w:rFonts w:asciiTheme="majorHAnsi" w:eastAsia="Times New Roman" w:hAnsiTheme="majorHAnsi" w:cs="Times New Roman"/>
          <w:sz w:val="24"/>
          <w:szCs w:val="24"/>
        </w:rPr>
        <w:t xml:space="preserve"> sono previsti </w:t>
      </w:r>
      <w:r>
        <w:rPr>
          <w:rFonts w:asciiTheme="majorHAnsi" w:eastAsia="Times New Roman" w:hAnsiTheme="majorHAnsi" w:cs="Times New Roman"/>
          <w:sz w:val="24"/>
          <w:szCs w:val="24"/>
        </w:rPr>
        <w:t xml:space="preserve">da quest’anno, </w:t>
      </w:r>
      <w:r w:rsidRPr="004733CF">
        <w:rPr>
          <w:rFonts w:asciiTheme="majorHAnsi" w:eastAsia="Times New Roman" w:hAnsiTheme="majorHAnsi" w:cs="Times New Roman"/>
          <w:sz w:val="24"/>
          <w:szCs w:val="24"/>
        </w:rPr>
        <w:t xml:space="preserve">in maniera strutturata </w:t>
      </w:r>
      <w:r>
        <w:rPr>
          <w:rFonts w:asciiTheme="majorHAnsi" w:eastAsia="Times New Roman" w:hAnsiTheme="majorHAnsi" w:cs="Times New Roman"/>
          <w:sz w:val="24"/>
          <w:szCs w:val="24"/>
        </w:rPr>
        <w:t>e sistematica, i collegamenti tra il ciclo delle performance 2017 e il DEFR.</w:t>
      </w:r>
    </w:p>
    <w:p w14:paraId="44A9FE3D" w14:textId="77777777" w:rsidR="00CB0E02" w:rsidRDefault="00CB0E02" w:rsidP="00CB0E02">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Come è possibile osservare all’interno dell’Allegato A della DGR stessa ogni Area della Giunta Regionale ha provveduto per la prima volta, nei mesi di gennaio e febbraio 2017, ad allineare gli obiettivi presenti nel DEFR con quelli del ciclo delle performance dell’anno corrente.</w:t>
      </w:r>
    </w:p>
    <w:p w14:paraId="488B40C7" w14:textId="77777777" w:rsidR="00CB0E02" w:rsidRDefault="00CB0E02" w:rsidP="00CB0E02">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Tale prassi può definirsi da quest’anno come a regime.</w:t>
      </w:r>
    </w:p>
    <w:p w14:paraId="2140EB3C" w14:textId="77777777" w:rsidR="00CB0E02" w:rsidRDefault="00CB0E02" w:rsidP="00CB0E02">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 titolo di esempio possono essere citati i seguenti obiettivi di performance presenti nel Piano:</w:t>
      </w:r>
    </w:p>
    <w:p w14:paraId="528D2793" w14:textId="77777777" w:rsidR="00CB0E02" w:rsidRDefault="00CB0E02" w:rsidP="00CB0E02">
      <w:pPr>
        <w:pStyle w:val="Paragrafoelenco"/>
        <w:numPr>
          <w:ilvl w:val="0"/>
          <w:numId w:val="15"/>
        </w:numPr>
        <w:spacing w:after="0" w:line="240" w:lineRule="auto"/>
        <w:jc w:val="both"/>
        <w:rPr>
          <w:rFonts w:asciiTheme="majorHAnsi" w:eastAsia="Times New Roman" w:hAnsiTheme="majorHAnsi" w:cs="Times New Roman"/>
          <w:sz w:val="24"/>
          <w:szCs w:val="24"/>
        </w:rPr>
      </w:pPr>
      <w:r w:rsidRPr="00430FFC">
        <w:rPr>
          <w:rFonts w:asciiTheme="majorHAnsi" w:eastAsia="Times New Roman" w:hAnsiTheme="majorHAnsi" w:cs="Times New Roman"/>
          <w:sz w:val="24"/>
          <w:szCs w:val="24"/>
        </w:rPr>
        <w:t>“Coordinare l'attuazione delle azioni relative al POR FESR 2014-2020 al fine di massimizzare le realizzazioni fisico finanziarie</w:t>
      </w:r>
      <w:r>
        <w:rPr>
          <w:rFonts w:asciiTheme="majorHAnsi" w:eastAsia="Times New Roman" w:hAnsiTheme="majorHAnsi" w:cs="Times New Roman"/>
          <w:sz w:val="24"/>
          <w:szCs w:val="24"/>
        </w:rPr>
        <w:t>” con riferimento agli obiettivi</w:t>
      </w:r>
      <w:r w:rsidRPr="00430FF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strategici</w:t>
      </w:r>
      <w:r w:rsidRPr="00430FFC">
        <w:rPr>
          <w:rFonts w:asciiTheme="majorHAnsi" w:eastAsia="Times New Roman" w:hAnsiTheme="majorHAnsi" w:cs="Times New Roman"/>
          <w:sz w:val="24"/>
          <w:szCs w:val="24"/>
        </w:rPr>
        <w:t xml:space="preserve"> del DEFR cod.</w:t>
      </w:r>
      <w:r>
        <w:rPr>
          <w:rFonts w:asciiTheme="majorHAnsi" w:eastAsia="Times New Roman" w:hAnsiTheme="majorHAnsi" w:cs="Times New Roman"/>
          <w:sz w:val="24"/>
          <w:szCs w:val="24"/>
        </w:rPr>
        <w:t xml:space="preserve"> </w:t>
      </w:r>
      <w:r w:rsidRPr="00430FFC">
        <w:rPr>
          <w:rFonts w:asciiTheme="majorHAnsi" w:eastAsia="Times New Roman" w:hAnsiTheme="majorHAnsi" w:cs="Times New Roman"/>
          <w:sz w:val="24"/>
          <w:szCs w:val="24"/>
        </w:rPr>
        <w:t xml:space="preserve">'09.01.03 </w:t>
      </w:r>
      <w:r>
        <w:rPr>
          <w:rFonts w:asciiTheme="majorHAnsi" w:eastAsia="Times New Roman" w:hAnsiTheme="majorHAnsi" w:cs="Times New Roman"/>
          <w:sz w:val="24"/>
          <w:szCs w:val="24"/>
        </w:rPr>
        <w:t>“R</w:t>
      </w:r>
      <w:r w:rsidRPr="00430FFC">
        <w:rPr>
          <w:rFonts w:asciiTheme="majorHAnsi" w:eastAsia="Times New Roman" w:hAnsiTheme="majorHAnsi" w:cs="Times New Roman"/>
          <w:sz w:val="24"/>
          <w:szCs w:val="24"/>
        </w:rPr>
        <w:t>ealizzare il sistema dei bacini di laminazione</w:t>
      </w:r>
      <w:r>
        <w:rPr>
          <w:rFonts w:asciiTheme="majorHAnsi" w:eastAsia="Times New Roman" w:hAnsiTheme="majorHAnsi" w:cs="Times New Roman"/>
          <w:sz w:val="24"/>
          <w:szCs w:val="24"/>
        </w:rPr>
        <w:t>” e</w:t>
      </w:r>
      <w:r w:rsidRPr="00430FFC">
        <w:rPr>
          <w:rFonts w:asciiTheme="majorHAnsi" w:eastAsia="Times New Roman" w:hAnsiTheme="majorHAnsi" w:cs="Times New Roman"/>
          <w:sz w:val="24"/>
          <w:szCs w:val="24"/>
        </w:rPr>
        <w:t xml:space="preserve"> 09.01.04</w:t>
      </w:r>
      <w:r>
        <w:rPr>
          <w:rFonts w:asciiTheme="majorHAnsi" w:eastAsia="Times New Roman" w:hAnsiTheme="majorHAnsi" w:cs="Times New Roman"/>
          <w:sz w:val="24"/>
          <w:szCs w:val="24"/>
        </w:rPr>
        <w:t xml:space="preserve"> “I</w:t>
      </w:r>
      <w:r w:rsidRPr="00430FFC">
        <w:rPr>
          <w:rFonts w:asciiTheme="majorHAnsi" w:eastAsia="Times New Roman" w:hAnsiTheme="majorHAnsi" w:cs="Times New Roman"/>
          <w:sz w:val="24"/>
          <w:szCs w:val="24"/>
        </w:rPr>
        <w:t>ncrementare la sicurezza sismica del patrimonio edilizio pubblico sul territorio regionale</w:t>
      </w:r>
      <w:r>
        <w:rPr>
          <w:rFonts w:asciiTheme="majorHAnsi" w:eastAsia="Times New Roman" w:hAnsiTheme="majorHAnsi" w:cs="Times New Roman"/>
          <w:sz w:val="24"/>
          <w:szCs w:val="24"/>
        </w:rPr>
        <w:t>”.</w:t>
      </w:r>
    </w:p>
    <w:p w14:paraId="0C3416E2" w14:textId="77777777" w:rsidR="00CB0E02" w:rsidRPr="00430FFC" w:rsidRDefault="00CB0E02" w:rsidP="00CB0E02">
      <w:pPr>
        <w:pStyle w:val="Paragrafoelenco"/>
        <w:numPr>
          <w:ilvl w:val="0"/>
          <w:numId w:val="15"/>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t>
      </w:r>
      <w:r w:rsidRPr="00430FFC">
        <w:rPr>
          <w:rFonts w:asciiTheme="majorHAnsi" w:eastAsia="Times New Roman" w:hAnsiTheme="majorHAnsi" w:cs="Times New Roman"/>
          <w:sz w:val="24"/>
          <w:szCs w:val="24"/>
        </w:rPr>
        <w:t>POR FESR 2014-2020: Cabina di Regia Regionale di coordinamento delle Strutture Regionali (SRA), con il coinvolgimento delle principali Associazioni di Categoria</w:t>
      </w:r>
      <w:r>
        <w:rPr>
          <w:rFonts w:asciiTheme="majorHAnsi" w:eastAsia="Times New Roman" w:hAnsiTheme="majorHAnsi" w:cs="Times New Roman"/>
          <w:sz w:val="24"/>
          <w:szCs w:val="24"/>
        </w:rPr>
        <w:t xml:space="preserve">” con riferimento all’ obiettivo gestionale del DEFR cod. </w:t>
      </w:r>
      <w:r w:rsidRPr="00430FFC">
        <w:rPr>
          <w:rFonts w:asciiTheme="majorHAnsi" w:eastAsia="Times New Roman" w:hAnsiTheme="majorHAnsi" w:cs="Times New Roman"/>
          <w:sz w:val="24"/>
          <w:szCs w:val="24"/>
        </w:rPr>
        <w:t xml:space="preserve">01.12.03 </w:t>
      </w:r>
      <w:r>
        <w:rPr>
          <w:rFonts w:asciiTheme="majorHAnsi" w:eastAsia="Times New Roman" w:hAnsiTheme="majorHAnsi" w:cs="Times New Roman"/>
          <w:sz w:val="24"/>
          <w:szCs w:val="24"/>
        </w:rPr>
        <w:t>“</w:t>
      </w:r>
      <w:r w:rsidRPr="00430FFC">
        <w:rPr>
          <w:rFonts w:asciiTheme="majorHAnsi" w:eastAsia="Times New Roman" w:hAnsiTheme="majorHAnsi" w:cs="Times New Roman"/>
          <w:sz w:val="24"/>
          <w:szCs w:val="24"/>
        </w:rPr>
        <w:t xml:space="preserve">Attuare la strategia di comunicazione del POR FESR 2014-2020 e garantire il supporto di </w:t>
      </w:r>
      <w:proofErr w:type="spellStart"/>
      <w:r w:rsidRPr="00430FFC">
        <w:rPr>
          <w:rFonts w:asciiTheme="majorHAnsi" w:eastAsia="Times New Roman" w:hAnsiTheme="majorHAnsi" w:cs="Times New Roman"/>
          <w:sz w:val="24"/>
          <w:szCs w:val="24"/>
        </w:rPr>
        <w:t>Avepa</w:t>
      </w:r>
      <w:proofErr w:type="spellEnd"/>
      <w:r w:rsidRPr="00430FFC">
        <w:rPr>
          <w:rFonts w:asciiTheme="majorHAnsi" w:eastAsia="Times New Roman" w:hAnsiTheme="majorHAnsi" w:cs="Times New Roman"/>
          <w:sz w:val="24"/>
          <w:szCs w:val="24"/>
        </w:rPr>
        <w:t xml:space="preserve"> nell'attività di assistenza tecnica (DGR/INF n. 42/2016)</w:t>
      </w:r>
      <w:r>
        <w:rPr>
          <w:rFonts w:asciiTheme="majorHAnsi" w:eastAsia="Times New Roman" w:hAnsiTheme="majorHAnsi" w:cs="Times New Roman"/>
          <w:sz w:val="24"/>
          <w:szCs w:val="24"/>
        </w:rPr>
        <w:t>”.</w:t>
      </w:r>
    </w:p>
    <w:p w14:paraId="20C440C0" w14:textId="77777777" w:rsidR="00621D2D" w:rsidRPr="00797570" w:rsidRDefault="00621D2D" w:rsidP="00621D2D">
      <w:pPr>
        <w:spacing w:after="120" w:line="240" w:lineRule="auto"/>
        <w:jc w:val="both"/>
        <w:outlineLvl w:val="0"/>
        <w:rPr>
          <w:rFonts w:asciiTheme="majorHAnsi" w:eastAsia="Calibri" w:hAnsiTheme="majorHAnsi" w:cs="Times New Roman"/>
          <w:b/>
          <w:sz w:val="24"/>
          <w:szCs w:val="24"/>
          <w:u w:val="single"/>
        </w:rPr>
      </w:pPr>
    </w:p>
    <w:p w14:paraId="0146AC21" w14:textId="4D2CA1B8" w:rsidR="00621D2D" w:rsidRPr="00797570" w:rsidRDefault="00B54090" w:rsidP="00621D2D">
      <w:pPr>
        <w:autoSpaceDE w:val="0"/>
        <w:autoSpaceDN w:val="0"/>
        <w:adjustRightInd w:val="0"/>
        <w:spacing w:after="120" w:line="240" w:lineRule="auto"/>
        <w:ind w:left="40" w:right="-20"/>
        <w:jc w:val="both"/>
        <w:rPr>
          <w:rFonts w:asciiTheme="majorHAnsi" w:hAnsiTheme="majorHAnsi" w:cs="Times New Roman"/>
          <w:position w:val="1"/>
          <w:sz w:val="24"/>
          <w:szCs w:val="24"/>
        </w:rPr>
      </w:pPr>
      <w:r w:rsidRPr="00797570">
        <w:rPr>
          <w:rFonts w:asciiTheme="majorHAnsi" w:eastAsia="Calibri" w:hAnsiTheme="majorHAnsi" w:cs="Times New Roman"/>
          <w:b/>
          <w:sz w:val="24"/>
          <w:szCs w:val="24"/>
          <w:u w:val="single"/>
        </w:rPr>
        <w:t>Sezione 3 - Stato di raggiungimento dei target previsti</w:t>
      </w:r>
    </w:p>
    <w:p w14:paraId="7BB07BAD" w14:textId="77777777" w:rsidR="007B1D83" w:rsidRPr="00797570" w:rsidRDefault="00C206EF" w:rsidP="00621D2D">
      <w:pPr>
        <w:autoSpaceDE w:val="0"/>
        <w:autoSpaceDN w:val="0"/>
        <w:adjustRightInd w:val="0"/>
        <w:spacing w:after="120" w:line="240" w:lineRule="auto"/>
        <w:ind w:left="40" w:right="-20"/>
        <w:jc w:val="both"/>
        <w:rPr>
          <w:rFonts w:asciiTheme="majorHAnsi" w:hAnsiTheme="majorHAnsi" w:cs="Times New Roman"/>
          <w:position w:val="1"/>
          <w:sz w:val="24"/>
          <w:szCs w:val="24"/>
        </w:rPr>
      </w:pPr>
      <w:r w:rsidRPr="00797570">
        <w:rPr>
          <w:rFonts w:asciiTheme="majorHAnsi" w:hAnsiTheme="majorHAnsi" w:cs="Times New Roman"/>
          <w:position w:val="1"/>
          <w:sz w:val="24"/>
          <w:szCs w:val="24"/>
        </w:rPr>
        <w:t>Il</w:t>
      </w:r>
      <w:r w:rsidR="00A42819" w:rsidRPr="00797570">
        <w:rPr>
          <w:rFonts w:asciiTheme="majorHAnsi" w:hAnsiTheme="majorHAnsi" w:cs="Times New Roman"/>
          <w:position w:val="1"/>
          <w:sz w:val="24"/>
          <w:szCs w:val="24"/>
        </w:rPr>
        <w:t xml:space="preserve"> </w:t>
      </w:r>
      <w:r w:rsidRPr="00797570">
        <w:rPr>
          <w:rFonts w:asciiTheme="majorHAnsi" w:hAnsiTheme="majorHAnsi" w:cs="Times New Roman"/>
          <w:position w:val="1"/>
          <w:sz w:val="24"/>
          <w:szCs w:val="24"/>
        </w:rPr>
        <w:t xml:space="preserve">termine per il </w:t>
      </w:r>
      <w:r w:rsidR="007B1D83" w:rsidRPr="00797570">
        <w:rPr>
          <w:rFonts w:asciiTheme="majorHAnsi" w:hAnsiTheme="majorHAnsi" w:cs="Times New Roman"/>
          <w:position w:val="1"/>
          <w:sz w:val="24"/>
          <w:szCs w:val="24"/>
        </w:rPr>
        <w:t>raggiungimento dei target è</w:t>
      </w:r>
      <w:r w:rsidRPr="00797570">
        <w:rPr>
          <w:rFonts w:asciiTheme="majorHAnsi" w:hAnsiTheme="majorHAnsi" w:cs="Times New Roman"/>
          <w:position w:val="1"/>
          <w:sz w:val="24"/>
          <w:szCs w:val="24"/>
        </w:rPr>
        <w:t xml:space="preserve"> stato fissato a giugno 2017. </w:t>
      </w:r>
    </w:p>
    <w:p w14:paraId="281DF2CD" w14:textId="60F7D8DD" w:rsidR="00621D2D" w:rsidRPr="00797570" w:rsidRDefault="00621D2D" w:rsidP="00621D2D">
      <w:pPr>
        <w:autoSpaceDE w:val="0"/>
        <w:autoSpaceDN w:val="0"/>
        <w:adjustRightInd w:val="0"/>
        <w:spacing w:after="120" w:line="240" w:lineRule="auto"/>
        <w:ind w:left="40" w:right="-20"/>
        <w:jc w:val="both"/>
        <w:rPr>
          <w:rFonts w:asciiTheme="majorHAnsi" w:hAnsiTheme="majorHAnsi" w:cs="Times New Roman"/>
          <w:position w:val="1"/>
          <w:sz w:val="24"/>
          <w:szCs w:val="24"/>
        </w:rPr>
      </w:pPr>
    </w:p>
    <w:p w14:paraId="5ECD3A69" w14:textId="02F44A7D" w:rsidR="00B54090" w:rsidRPr="00797570" w:rsidRDefault="001F31D8" w:rsidP="00B54090">
      <w:pPr>
        <w:autoSpaceDE w:val="0"/>
        <w:autoSpaceDN w:val="0"/>
        <w:adjustRightInd w:val="0"/>
        <w:spacing w:after="120" w:line="240" w:lineRule="auto"/>
        <w:ind w:left="40" w:right="-20"/>
        <w:jc w:val="both"/>
        <w:rPr>
          <w:rFonts w:asciiTheme="majorHAnsi" w:eastAsia="Calibri" w:hAnsiTheme="majorHAnsi" w:cs="Times New Roman"/>
          <w:b/>
          <w:sz w:val="24"/>
          <w:szCs w:val="24"/>
          <w:u w:val="single"/>
        </w:rPr>
      </w:pPr>
      <w:r w:rsidRPr="00797570">
        <w:rPr>
          <w:rFonts w:asciiTheme="majorHAnsi" w:eastAsia="Calibri" w:hAnsiTheme="majorHAnsi" w:cs="Times New Roman"/>
          <w:b/>
          <w:sz w:val="24"/>
          <w:szCs w:val="24"/>
          <w:u w:val="single"/>
        </w:rPr>
        <w:t>S</w:t>
      </w:r>
      <w:r w:rsidR="00B54090" w:rsidRPr="00797570">
        <w:rPr>
          <w:rFonts w:asciiTheme="majorHAnsi" w:eastAsia="Calibri" w:hAnsiTheme="majorHAnsi" w:cs="Times New Roman"/>
          <w:b/>
          <w:sz w:val="24"/>
          <w:szCs w:val="24"/>
          <w:u w:val="single"/>
        </w:rPr>
        <w:t>ezione 4 - elementi non compresi nel monitoraggio quadrimestrale</w:t>
      </w:r>
    </w:p>
    <w:p w14:paraId="63744876" w14:textId="77777777" w:rsidR="00B54090" w:rsidRPr="00797570" w:rsidRDefault="00B54090" w:rsidP="00B54090">
      <w:pPr>
        <w:widowControl w:val="0"/>
        <w:tabs>
          <w:tab w:val="left" w:pos="1108"/>
        </w:tabs>
        <w:spacing w:before="137" w:after="0" w:line="240" w:lineRule="auto"/>
        <w:ind w:left="1107"/>
        <w:rPr>
          <w:rFonts w:asciiTheme="majorHAnsi" w:eastAsia="Times New Roman" w:hAnsiTheme="majorHAnsi" w:cs="Times New Roman"/>
          <w:sz w:val="24"/>
          <w:szCs w:val="24"/>
        </w:rPr>
      </w:pPr>
      <w:r w:rsidRPr="00797570">
        <w:rPr>
          <w:rFonts w:asciiTheme="majorHAnsi" w:hAnsiTheme="majorHAnsi"/>
          <w:b/>
          <w:sz w:val="24"/>
          <w:u w:val="thick" w:color="000000"/>
        </w:rPr>
        <w:t>4.1</w:t>
      </w:r>
      <w:r w:rsidRPr="00797570">
        <w:rPr>
          <w:rFonts w:asciiTheme="majorHAnsi" w:hAnsiTheme="majorHAnsi"/>
          <w:b/>
          <w:spacing w:val="-3"/>
          <w:sz w:val="24"/>
          <w:u w:val="thick" w:color="000000"/>
        </w:rPr>
        <w:t xml:space="preserve"> </w:t>
      </w:r>
      <w:r w:rsidRPr="00797570">
        <w:rPr>
          <w:rFonts w:asciiTheme="majorHAnsi" w:hAnsiTheme="majorHAnsi"/>
          <w:b/>
          <w:sz w:val="24"/>
          <w:u w:val="thick" w:color="000000"/>
        </w:rPr>
        <w:t>-</w:t>
      </w:r>
      <w:r w:rsidRPr="00797570">
        <w:rPr>
          <w:rFonts w:asciiTheme="majorHAnsi" w:hAnsiTheme="majorHAnsi"/>
          <w:b/>
          <w:spacing w:val="-3"/>
          <w:sz w:val="24"/>
          <w:u w:val="thick" w:color="000000"/>
        </w:rPr>
        <w:t xml:space="preserve"> </w:t>
      </w:r>
      <w:r w:rsidRPr="00797570">
        <w:rPr>
          <w:rFonts w:asciiTheme="majorHAnsi" w:hAnsiTheme="majorHAnsi"/>
          <w:b/>
          <w:sz w:val="24"/>
          <w:u w:val="thick" w:color="000000"/>
        </w:rPr>
        <w:t>personale</w:t>
      </w:r>
      <w:r w:rsidRPr="00797570">
        <w:rPr>
          <w:rFonts w:asciiTheme="majorHAnsi" w:hAnsiTheme="majorHAnsi"/>
          <w:b/>
          <w:spacing w:val="-3"/>
          <w:sz w:val="24"/>
          <w:u w:val="thick" w:color="000000"/>
        </w:rPr>
        <w:t xml:space="preserve"> </w:t>
      </w:r>
      <w:r w:rsidRPr="00797570">
        <w:rPr>
          <w:rFonts w:asciiTheme="majorHAnsi" w:hAnsiTheme="majorHAnsi"/>
          <w:b/>
          <w:sz w:val="24"/>
          <w:u w:val="thick" w:color="000000"/>
        </w:rPr>
        <w:t>disponibile</w:t>
      </w:r>
      <w:r w:rsidRPr="00797570">
        <w:rPr>
          <w:rFonts w:asciiTheme="majorHAnsi" w:hAnsiTheme="majorHAnsi"/>
          <w:b/>
          <w:spacing w:val="-2"/>
          <w:sz w:val="24"/>
          <w:u w:val="thick" w:color="000000"/>
        </w:rPr>
        <w:t xml:space="preserve"> </w:t>
      </w:r>
      <w:r w:rsidRPr="00797570">
        <w:rPr>
          <w:rFonts w:asciiTheme="majorHAnsi" w:hAnsiTheme="majorHAnsi"/>
          <w:b/>
          <w:sz w:val="24"/>
          <w:u w:val="thick" w:color="000000"/>
        </w:rPr>
        <w:t>per</w:t>
      </w:r>
      <w:r w:rsidRPr="00797570">
        <w:rPr>
          <w:rFonts w:asciiTheme="majorHAnsi" w:hAnsiTheme="majorHAnsi"/>
          <w:b/>
          <w:spacing w:val="-3"/>
          <w:sz w:val="24"/>
          <w:u w:val="thick" w:color="000000"/>
        </w:rPr>
        <w:t xml:space="preserve"> </w:t>
      </w:r>
      <w:r w:rsidRPr="00797570">
        <w:rPr>
          <w:rFonts w:asciiTheme="majorHAnsi" w:hAnsiTheme="majorHAnsi"/>
          <w:b/>
          <w:sz w:val="24"/>
          <w:u w:val="thick" w:color="000000"/>
        </w:rPr>
        <w:t>la</w:t>
      </w:r>
      <w:r w:rsidRPr="00797570">
        <w:rPr>
          <w:rFonts w:asciiTheme="majorHAnsi" w:hAnsiTheme="majorHAnsi"/>
          <w:b/>
          <w:spacing w:val="-3"/>
          <w:sz w:val="24"/>
          <w:u w:val="thick" w:color="000000"/>
        </w:rPr>
        <w:t xml:space="preserve"> </w:t>
      </w:r>
      <w:r w:rsidRPr="00797570">
        <w:rPr>
          <w:rFonts w:asciiTheme="majorHAnsi" w:hAnsiTheme="majorHAnsi"/>
          <w:b/>
          <w:sz w:val="24"/>
          <w:u w:val="thick" w:color="000000"/>
        </w:rPr>
        <w:t>gestione</w:t>
      </w:r>
      <w:r w:rsidRPr="00797570">
        <w:rPr>
          <w:rFonts w:asciiTheme="majorHAnsi" w:hAnsiTheme="majorHAnsi"/>
          <w:b/>
          <w:spacing w:val="-2"/>
          <w:sz w:val="24"/>
          <w:u w:val="thick" w:color="000000"/>
        </w:rPr>
        <w:t xml:space="preserve"> </w:t>
      </w:r>
      <w:r w:rsidRPr="00797570">
        <w:rPr>
          <w:rFonts w:asciiTheme="majorHAnsi" w:hAnsiTheme="majorHAnsi"/>
          <w:b/>
          <w:sz w:val="24"/>
          <w:u w:val="thick" w:color="000000"/>
        </w:rPr>
        <w:t>dei</w:t>
      </w:r>
      <w:r w:rsidRPr="00797570">
        <w:rPr>
          <w:rFonts w:asciiTheme="majorHAnsi" w:hAnsiTheme="majorHAnsi"/>
          <w:b/>
          <w:spacing w:val="-3"/>
          <w:sz w:val="24"/>
          <w:u w:val="thick" w:color="000000"/>
        </w:rPr>
        <w:t xml:space="preserve"> </w:t>
      </w:r>
      <w:r w:rsidRPr="00797570">
        <w:rPr>
          <w:rFonts w:asciiTheme="majorHAnsi" w:hAnsiTheme="majorHAnsi"/>
          <w:b/>
          <w:sz w:val="24"/>
          <w:u w:val="thick" w:color="000000"/>
        </w:rPr>
        <w:t>PO</w:t>
      </w:r>
    </w:p>
    <w:p w14:paraId="4444F154" w14:textId="77777777" w:rsidR="00866EBD" w:rsidRDefault="00B10B02" w:rsidP="00F46AA6">
      <w:pPr>
        <w:spacing w:after="0" w:line="240" w:lineRule="auto"/>
        <w:jc w:val="both"/>
        <w:rPr>
          <w:rFonts w:asciiTheme="majorHAnsi" w:eastAsia="Calibri" w:hAnsiTheme="majorHAnsi" w:cs="Times New Roman"/>
          <w:sz w:val="24"/>
          <w:szCs w:val="24"/>
        </w:rPr>
      </w:pPr>
      <w:r w:rsidRPr="00797570">
        <w:rPr>
          <w:rFonts w:asciiTheme="majorHAnsi" w:eastAsia="Calibri" w:hAnsiTheme="majorHAnsi" w:cs="Times New Roman"/>
          <w:sz w:val="24"/>
          <w:szCs w:val="24"/>
        </w:rPr>
        <w:t>A partire dal mese di giugno 2016, la Regione del Veneto è stata interessata da una riorganizzazione interna che ha comportato una rivisitazione delle Strutture e delle relative competenze. Nelle allegate schede per il personale impegnato rispettivamente nel POR FESR e nel POR FSE si dà conto della nuova struttura organizzativa.</w:t>
      </w:r>
      <w:r w:rsidR="00F46AA6" w:rsidRPr="00797570">
        <w:rPr>
          <w:rFonts w:asciiTheme="majorHAnsi" w:eastAsia="Calibri" w:hAnsiTheme="majorHAnsi" w:cs="Times New Roman"/>
          <w:sz w:val="24"/>
          <w:szCs w:val="24"/>
        </w:rPr>
        <w:t xml:space="preserve"> Si rammenta inoltre che sono in </w:t>
      </w:r>
    </w:p>
    <w:p w14:paraId="379B771F" w14:textId="77777777" w:rsidR="00DC3CB2" w:rsidRDefault="00DC3CB2" w:rsidP="00F46AA6">
      <w:pPr>
        <w:spacing w:after="0" w:line="240" w:lineRule="auto"/>
        <w:jc w:val="both"/>
        <w:rPr>
          <w:rFonts w:asciiTheme="majorHAnsi" w:eastAsia="Calibri" w:hAnsiTheme="majorHAnsi" w:cs="Times New Roman"/>
          <w:sz w:val="24"/>
          <w:szCs w:val="24"/>
        </w:rPr>
      </w:pPr>
    </w:p>
    <w:p w14:paraId="6235A040" w14:textId="77777777" w:rsidR="00DC3CB2" w:rsidRDefault="00DC3CB2" w:rsidP="00F46AA6">
      <w:pPr>
        <w:spacing w:after="0" w:line="240" w:lineRule="auto"/>
        <w:jc w:val="both"/>
        <w:rPr>
          <w:rFonts w:asciiTheme="majorHAnsi" w:eastAsia="Calibri" w:hAnsiTheme="majorHAnsi" w:cs="Times New Roman"/>
          <w:sz w:val="24"/>
          <w:szCs w:val="24"/>
        </w:rPr>
      </w:pPr>
    </w:p>
    <w:p w14:paraId="3E5195BC" w14:textId="77777777" w:rsidR="00DC3CB2" w:rsidRDefault="00DC3CB2" w:rsidP="00F46AA6">
      <w:pPr>
        <w:spacing w:after="0" w:line="240" w:lineRule="auto"/>
        <w:jc w:val="both"/>
        <w:rPr>
          <w:rFonts w:asciiTheme="majorHAnsi" w:eastAsia="Calibri" w:hAnsiTheme="majorHAnsi" w:cs="Times New Roman"/>
          <w:sz w:val="24"/>
          <w:szCs w:val="24"/>
        </w:rPr>
      </w:pPr>
    </w:p>
    <w:p w14:paraId="5AEA2902" w14:textId="77777777" w:rsidR="00DC3CB2" w:rsidRDefault="00DC3CB2" w:rsidP="00F46AA6">
      <w:pPr>
        <w:spacing w:after="0" w:line="240" w:lineRule="auto"/>
        <w:jc w:val="both"/>
        <w:rPr>
          <w:rFonts w:asciiTheme="majorHAnsi" w:eastAsia="Calibri" w:hAnsiTheme="majorHAnsi" w:cs="Times New Roman"/>
          <w:sz w:val="24"/>
          <w:szCs w:val="24"/>
        </w:rPr>
      </w:pPr>
    </w:p>
    <w:p w14:paraId="64341827" w14:textId="77777777" w:rsidR="00DC3CB2" w:rsidRDefault="00DC3CB2" w:rsidP="00F46AA6">
      <w:pPr>
        <w:spacing w:after="0" w:line="240" w:lineRule="auto"/>
        <w:jc w:val="both"/>
        <w:rPr>
          <w:rFonts w:asciiTheme="majorHAnsi" w:eastAsia="Calibri" w:hAnsiTheme="majorHAnsi" w:cs="Times New Roman"/>
          <w:sz w:val="24"/>
          <w:szCs w:val="24"/>
        </w:rPr>
      </w:pPr>
    </w:p>
    <w:p w14:paraId="2ADB846D" w14:textId="23EAFA0F" w:rsidR="00F46AA6" w:rsidRPr="00797570" w:rsidRDefault="00F46AA6" w:rsidP="00F46AA6">
      <w:pPr>
        <w:spacing w:after="0" w:line="240" w:lineRule="auto"/>
        <w:jc w:val="both"/>
        <w:rPr>
          <w:rFonts w:asciiTheme="majorHAnsi" w:hAnsiTheme="majorHAnsi" w:cs="Times New Roman"/>
          <w:sz w:val="24"/>
          <w:szCs w:val="24"/>
        </w:rPr>
      </w:pPr>
      <w:r w:rsidRPr="00797570">
        <w:rPr>
          <w:rFonts w:asciiTheme="majorHAnsi" w:eastAsia="Calibri" w:hAnsiTheme="majorHAnsi" w:cs="Times New Roman"/>
          <w:sz w:val="24"/>
          <w:szCs w:val="24"/>
        </w:rPr>
        <w:t>corso l</w:t>
      </w:r>
      <w:r w:rsidRPr="00797570">
        <w:rPr>
          <w:rFonts w:asciiTheme="majorHAnsi" w:hAnsiTheme="majorHAnsi" w:cs="Times New Roman"/>
          <w:sz w:val="24"/>
          <w:szCs w:val="24"/>
        </w:rPr>
        <w:t>e procedure concorsuali per l’assunzione a tempo indeterminato di personale specialistico per i PO.</w:t>
      </w:r>
    </w:p>
    <w:p w14:paraId="0BF63DB1" w14:textId="77777777" w:rsidR="00B10B02" w:rsidRPr="00797570" w:rsidRDefault="00B10B02" w:rsidP="00B10B02">
      <w:pPr>
        <w:spacing w:after="120" w:line="240" w:lineRule="auto"/>
        <w:jc w:val="both"/>
        <w:outlineLvl w:val="0"/>
        <w:rPr>
          <w:rFonts w:asciiTheme="majorHAnsi" w:hAnsiTheme="majorHAnsi" w:cs="Times New Roman"/>
          <w:b/>
          <w:sz w:val="24"/>
          <w:szCs w:val="24"/>
          <w:u w:val="single"/>
        </w:rPr>
      </w:pPr>
    </w:p>
    <w:p w14:paraId="12123F2A" w14:textId="77777777" w:rsidR="00D6157C" w:rsidRPr="00797570" w:rsidRDefault="000173F8" w:rsidP="00D6157C">
      <w:pPr>
        <w:widowControl w:val="0"/>
        <w:tabs>
          <w:tab w:val="left" w:pos="1108"/>
        </w:tabs>
        <w:spacing w:before="137" w:after="0" w:line="240" w:lineRule="auto"/>
        <w:ind w:left="1107"/>
        <w:rPr>
          <w:rFonts w:asciiTheme="majorHAnsi" w:hAnsiTheme="majorHAnsi"/>
          <w:b/>
          <w:sz w:val="24"/>
          <w:u w:val="thick" w:color="000000"/>
        </w:rPr>
      </w:pPr>
      <w:r w:rsidRPr="00797570">
        <w:rPr>
          <w:rFonts w:asciiTheme="majorHAnsi" w:hAnsiTheme="majorHAnsi"/>
          <w:b/>
          <w:sz w:val="24"/>
          <w:u w:val="thick" w:color="000000"/>
        </w:rPr>
        <w:t>4.2 - A</w:t>
      </w:r>
      <w:r w:rsidR="00B54090" w:rsidRPr="00797570">
        <w:rPr>
          <w:rFonts w:asciiTheme="majorHAnsi" w:hAnsiTheme="majorHAnsi"/>
          <w:b/>
          <w:sz w:val="24"/>
          <w:u w:val="thick" w:color="000000"/>
        </w:rPr>
        <w:t>ttività di comunicazione intraprese</w:t>
      </w:r>
    </w:p>
    <w:p w14:paraId="45BE05C6" w14:textId="610DD67E" w:rsidR="00AC2D5A" w:rsidRPr="00866EBD" w:rsidRDefault="00180AF6" w:rsidP="00866EBD">
      <w:pPr>
        <w:widowControl w:val="0"/>
        <w:tabs>
          <w:tab w:val="left" w:pos="0"/>
        </w:tabs>
        <w:spacing w:before="137" w:after="0" w:line="240" w:lineRule="auto"/>
        <w:jc w:val="both"/>
        <w:rPr>
          <w:rFonts w:asciiTheme="majorHAnsi" w:hAnsiTheme="majorHAnsi"/>
          <w:b/>
          <w:sz w:val="24"/>
          <w:szCs w:val="24"/>
          <w:u w:val="thick" w:color="000000"/>
        </w:rPr>
      </w:pPr>
      <w:r w:rsidRPr="00866EBD">
        <w:rPr>
          <w:rFonts w:asciiTheme="majorHAnsi" w:eastAsia="Times New Roman" w:hAnsiTheme="majorHAnsi" w:cs="Arial"/>
          <w:sz w:val="24"/>
          <w:szCs w:val="24"/>
        </w:rPr>
        <w:t xml:space="preserve">Il PRA è comunicato agli </w:t>
      </w:r>
      <w:proofErr w:type="spellStart"/>
      <w:r w:rsidRPr="00866EBD">
        <w:rPr>
          <w:rFonts w:asciiTheme="majorHAnsi" w:eastAsia="Times New Roman" w:hAnsiTheme="majorHAnsi" w:cs="Arial"/>
          <w:sz w:val="24"/>
          <w:szCs w:val="24"/>
        </w:rPr>
        <w:t>stakeholders</w:t>
      </w:r>
      <w:proofErr w:type="spellEnd"/>
      <w:r w:rsidRPr="00866EBD">
        <w:rPr>
          <w:rFonts w:asciiTheme="majorHAnsi" w:eastAsia="Times New Roman" w:hAnsiTheme="majorHAnsi" w:cs="Arial"/>
          <w:sz w:val="24"/>
          <w:szCs w:val="24"/>
        </w:rPr>
        <w:t>, beneficiari e cittadini tra</w:t>
      </w:r>
      <w:r w:rsidR="00160163" w:rsidRPr="00866EBD">
        <w:rPr>
          <w:rFonts w:asciiTheme="majorHAnsi" w:eastAsia="Times New Roman" w:hAnsiTheme="majorHAnsi" w:cs="Arial"/>
          <w:sz w:val="24"/>
          <w:szCs w:val="24"/>
        </w:rPr>
        <w:t>mite p</w:t>
      </w:r>
      <w:r w:rsidRPr="00866EBD">
        <w:rPr>
          <w:rFonts w:asciiTheme="majorHAnsi" w:eastAsia="Times New Roman" w:hAnsiTheme="majorHAnsi" w:cs="Arial"/>
          <w:sz w:val="24"/>
          <w:szCs w:val="24"/>
        </w:rPr>
        <w:t>ubblicazione nel sito internet region</w:t>
      </w:r>
      <w:r w:rsidR="00160163" w:rsidRPr="00866EBD">
        <w:rPr>
          <w:rFonts w:asciiTheme="majorHAnsi" w:eastAsia="Times New Roman" w:hAnsiTheme="majorHAnsi" w:cs="Arial"/>
          <w:sz w:val="24"/>
          <w:szCs w:val="24"/>
        </w:rPr>
        <w:t>ale.</w:t>
      </w:r>
      <w:r w:rsidRPr="00866EBD">
        <w:rPr>
          <w:rFonts w:asciiTheme="majorHAnsi" w:eastAsia="Times New Roman" w:hAnsiTheme="majorHAnsi" w:cs="Arial"/>
          <w:sz w:val="24"/>
          <w:szCs w:val="24"/>
        </w:rPr>
        <w:t xml:space="preserve"> </w:t>
      </w:r>
      <w:r w:rsidR="00160163" w:rsidRPr="00866EBD">
        <w:rPr>
          <w:rFonts w:asciiTheme="majorHAnsi" w:eastAsia="Times New Roman" w:hAnsiTheme="majorHAnsi" w:cs="Arial"/>
          <w:sz w:val="24"/>
          <w:szCs w:val="24"/>
        </w:rPr>
        <w:t>N</w:t>
      </w:r>
      <w:r w:rsidRPr="00866EBD">
        <w:rPr>
          <w:rFonts w:asciiTheme="majorHAnsi" w:eastAsia="Times New Roman" w:hAnsiTheme="majorHAnsi" w:cs="Arial"/>
          <w:sz w:val="24"/>
          <w:szCs w:val="24"/>
        </w:rPr>
        <w:t>ell’ambito della sezione dedicata ai Programmi com</w:t>
      </w:r>
      <w:r w:rsidR="00160163" w:rsidRPr="00866EBD">
        <w:rPr>
          <w:rFonts w:asciiTheme="majorHAnsi" w:eastAsia="Times New Roman" w:hAnsiTheme="majorHAnsi" w:cs="Arial"/>
          <w:sz w:val="24"/>
          <w:szCs w:val="24"/>
        </w:rPr>
        <w:t>unitari</w:t>
      </w:r>
      <w:r w:rsidR="00AC2D5A" w:rsidRPr="00866EBD">
        <w:rPr>
          <w:rFonts w:asciiTheme="majorHAnsi" w:eastAsia="Times New Roman" w:hAnsiTheme="majorHAnsi" w:cs="Arial"/>
          <w:sz w:val="24"/>
          <w:szCs w:val="24"/>
        </w:rPr>
        <w:t xml:space="preserve"> è stata creata una pagina dedicata al PRA</w:t>
      </w:r>
      <w:r w:rsidR="00160163" w:rsidRPr="00866EBD">
        <w:rPr>
          <w:rFonts w:asciiTheme="majorHAnsi" w:hAnsiTheme="majorHAnsi"/>
          <w:sz w:val="24"/>
          <w:szCs w:val="24"/>
        </w:rPr>
        <w:t xml:space="preserve">, nella quale </w:t>
      </w:r>
      <w:r w:rsidRPr="00866EBD">
        <w:rPr>
          <w:rFonts w:asciiTheme="majorHAnsi" w:eastAsia="Times New Roman" w:hAnsiTheme="majorHAnsi" w:cs="Arial"/>
          <w:sz w:val="24"/>
          <w:szCs w:val="24"/>
        </w:rPr>
        <w:t>s</w:t>
      </w:r>
      <w:r w:rsidR="00AC2D5A" w:rsidRPr="00866EBD">
        <w:rPr>
          <w:rFonts w:asciiTheme="majorHAnsi" w:eastAsia="Times New Roman" w:hAnsiTheme="majorHAnsi" w:cs="Arial"/>
          <w:sz w:val="24"/>
          <w:szCs w:val="24"/>
        </w:rPr>
        <w:t>ono pubblicati i monitoraggi periodici sullo stato di avanzamento</w:t>
      </w:r>
      <w:r w:rsidR="00160163" w:rsidRPr="00866EBD">
        <w:rPr>
          <w:rFonts w:asciiTheme="majorHAnsi" w:eastAsia="Times New Roman" w:hAnsiTheme="majorHAnsi" w:cs="Arial"/>
          <w:sz w:val="24"/>
          <w:szCs w:val="24"/>
        </w:rPr>
        <w:t xml:space="preserve"> degli interventi.</w:t>
      </w:r>
    </w:p>
    <w:p w14:paraId="4A34EE89" w14:textId="5056D3C7" w:rsidR="00180AF6" w:rsidRPr="00866EBD" w:rsidRDefault="00160163" w:rsidP="00866EBD">
      <w:pPr>
        <w:tabs>
          <w:tab w:val="left" w:pos="0"/>
        </w:tabs>
        <w:spacing w:after="0" w:line="240" w:lineRule="auto"/>
        <w:jc w:val="both"/>
        <w:rPr>
          <w:rFonts w:asciiTheme="majorHAnsi" w:eastAsia="Times New Roman" w:hAnsiTheme="majorHAnsi" w:cs="Arial"/>
          <w:sz w:val="24"/>
          <w:szCs w:val="24"/>
        </w:rPr>
      </w:pPr>
      <w:r w:rsidRPr="00866EBD">
        <w:rPr>
          <w:rFonts w:asciiTheme="majorHAnsi" w:eastAsia="Times New Roman" w:hAnsiTheme="majorHAnsi" w:cs="Arial"/>
          <w:sz w:val="24"/>
          <w:szCs w:val="24"/>
        </w:rPr>
        <w:t>N</w:t>
      </w:r>
      <w:r w:rsidR="00180AF6" w:rsidRPr="00866EBD">
        <w:rPr>
          <w:rFonts w:asciiTheme="majorHAnsi" w:eastAsia="Times New Roman" w:hAnsiTheme="majorHAnsi" w:cs="Arial"/>
          <w:sz w:val="24"/>
          <w:szCs w:val="24"/>
        </w:rPr>
        <w:t>el</w:t>
      </w:r>
      <w:r w:rsidRPr="00866EBD">
        <w:rPr>
          <w:rFonts w:asciiTheme="majorHAnsi" w:eastAsia="Times New Roman" w:hAnsiTheme="majorHAnsi" w:cs="Arial"/>
          <w:sz w:val="24"/>
          <w:szCs w:val="24"/>
        </w:rPr>
        <w:t xml:space="preserve">la </w:t>
      </w:r>
      <w:r w:rsidR="00180AF6" w:rsidRPr="00866EBD">
        <w:rPr>
          <w:rFonts w:asciiTheme="majorHAnsi" w:eastAsia="Times New Roman" w:hAnsiTheme="majorHAnsi" w:cs="Arial"/>
          <w:sz w:val="24"/>
          <w:szCs w:val="24"/>
        </w:rPr>
        <w:t xml:space="preserve">Relazione </w:t>
      </w:r>
      <w:r w:rsidRPr="00866EBD">
        <w:rPr>
          <w:rFonts w:asciiTheme="majorHAnsi" w:eastAsia="Times New Roman" w:hAnsiTheme="majorHAnsi" w:cs="Arial"/>
          <w:sz w:val="24"/>
          <w:szCs w:val="24"/>
        </w:rPr>
        <w:t xml:space="preserve">di </w:t>
      </w:r>
      <w:r w:rsidR="00180AF6" w:rsidRPr="00866EBD">
        <w:rPr>
          <w:rFonts w:asciiTheme="majorHAnsi" w:eastAsia="Times New Roman" w:hAnsiTheme="majorHAnsi" w:cs="Arial"/>
          <w:sz w:val="24"/>
          <w:szCs w:val="24"/>
        </w:rPr>
        <w:t>Attuazione Ann</w:t>
      </w:r>
      <w:r w:rsidRPr="00866EBD">
        <w:rPr>
          <w:rFonts w:asciiTheme="majorHAnsi" w:eastAsia="Times New Roman" w:hAnsiTheme="majorHAnsi" w:cs="Arial"/>
          <w:sz w:val="24"/>
          <w:szCs w:val="24"/>
        </w:rPr>
        <w:t>uale rispettivamente del POR FESR e del POR FSE sono state inserite apposite sezioni sullo stato di attuazione del PRA.</w:t>
      </w:r>
    </w:p>
    <w:p w14:paraId="26070BE4" w14:textId="77777777" w:rsidR="004D474B" w:rsidRPr="00866EBD" w:rsidRDefault="004D474B" w:rsidP="00866EBD">
      <w:pPr>
        <w:tabs>
          <w:tab w:val="left" w:pos="0"/>
        </w:tabs>
        <w:autoSpaceDE w:val="0"/>
        <w:autoSpaceDN w:val="0"/>
        <w:adjustRightInd w:val="0"/>
        <w:spacing w:after="0" w:line="240" w:lineRule="auto"/>
        <w:jc w:val="both"/>
        <w:rPr>
          <w:rFonts w:asciiTheme="majorHAnsi" w:eastAsia="Times New Roman" w:hAnsiTheme="majorHAnsi" w:cs="Arial"/>
          <w:sz w:val="24"/>
          <w:szCs w:val="24"/>
        </w:rPr>
      </w:pPr>
    </w:p>
    <w:p w14:paraId="0E240D6D" w14:textId="4D84F0A7" w:rsidR="00AC2D5A" w:rsidRPr="00866EBD" w:rsidRDefault="00160163" w:rsidP="00866EBD">
      <w:pPr>
        <w:tabs>
          <w:tab w:val="left" w:pos="0"/>
        </w:tabs>
        <w:autoSpaceDE w:val="0"/>
        <w:autoSpaceDN w:val="0"/>
        <w:adjustRightInd w:val="0"/>
        <w:spacing w:after="0" w:line="240" w:lineRule="auto"/>
        <w:jc w:val="both"/>
        <w:rPr>
          <w:rFonts w:asciiTheme="majorHAnsi" w:eastAsia="Times New Roman" w:hAnsiTheme="majorHAnsi" w:cs="Arial"/>
          <w:sz w:val="24"/>
          <w:szCs w:val="24"/>
        </w:rPr>
      </w:pPr>
      <w:r w:rsidRPr="00866EBD">
        <w:rPr>
          <w:rFonts w:asciiTheme="majorHAnsi" w:eastAsia="Times New Roman" w:hAnsiTheme="majorHAnsi" w:cs="Arial"/>
          <w:sz w:val="24"/>
          <w:szCs w:val="24"/>
        </w:rPr>
        <w:t xml:space="preserve">Infine </w:t>
      </w:r>
      <w:r w:rsidR="00AC2D5A" w:rsidRPr="00866EBD">
        <w:rPr>
          <w:rFonts w:asciiTheme="majorHAnsi" w:eastAsia="Times New Roman" w:hAnsiTheme="majorHAnsi" w:cs="Arial"/>
          <w:sz w:val="24"/>
          <w:szCs w:val="24"/>
        </w:rPr>
        <w:t xml:space="preserve">i Comitati di Sorveglianza </w:t>
      </w:r>
      <w:r w:rsidRPr="00866EBD">
        <w:rPr>
          <w:rFonts w:asciiTheme="majorHAnsi" w:eastAsia="Times New Roman" w:hAnsiTheme="majorHAnsi" w:cs="Arial"/>
          <w:sz w:val="24"/>
          <w:szCs w:val="24"/>
        </w:rPr>
        <w:t>del POR FESR e del POR FSE sono stati informati sullo stato di avanzamento del PRA:</w:t>
      </w:r>
    </w:p>
    <w:p w14:paraId="1823C500" w14:textId="5EA1B713" w:rsidR="00AC2D5A" w:rsidRPr="00866EBD" w:rsidRDefault="00AC2D5A" w:rsidP="00866EBD">
      <w:pPr>
        <w:numPr>
          <w:ilvl w:val="0"/>
          <w:numId w:val="7"/>
        </w:numPr>
        <w:tabs>
          <w:tab w:val="left" w:pos="0"/>
        </w:tabs>
        <w:autoSpaceDE w:val="0"/>
        <w:autoSpaceDN w:val="0"/>
        <w:adjustRightInd w:val="0"/>
        <w:spacing w:after="0" w:line="240" w:lineRule="auto"/>
        <w:ind w:left="0" w:firstLine="0"/>
        <w:jc w:val="both"/>
        <w:rPr>
          <w:rFonts w:asciiTheme="majorHAnsi" w:eastAsia="Times New Roman" w:hAnsiTheme="majorHAnsi" w:cs="Arial"/>
          <w:sz w:val="24"/>
          <w:szCs w:val="24"/>
        </w:rPr>
      </w:pPr>
      <w:r w:rsidRPr="00866EBD">
        <w:rPr>
          <w:rFonts w:asciiTheme="majorHAnsi" w:eastAsia="Times New Roman" w:hAnsiTheme="majorHAnsi" w:cs="Arial"/>
          <w:sz w:val="24"/>
          <w:szCs w:val="24"/>
        </w:rPr>
        <w:t>per il POR FESR 2</w:t>
      </w:r>
      <w:r w:rsidR="00160163" w:rsidRPr="00866EBD">
        <w:rPr>
          <w:rFonts w:asciiTheme="majorHAnsi" w:eastAsia="Times New Roman" w:hAnsiTheme="majorHAnsi" w:cs="Arial"/>
          <w:sz w:val="24"/>
          <w:szCs w:val="24"/>
        </w:rPr>
        <w:t>014/2020, nel corso delle</w:t>
      </w:r>
      <w:r w:rsidRPr="00866EBD">
        <w:rPr>
          <w:rFonts w:asciiTheme="majorHAnsi" w:eastAsia="Times New Roman" w:hAnsiTheme="majorHAnsi" w:cs="Arial"/>
          <w:sz w:val="24"/>
          <w:szCs w:val="24"/>
        </w:rPr>
        <w:t xml:space="preserve"> </w:t>
      </w:r>
      <w:r w:rsidR="00160163" w:rsidRPr="00866EBD">
        <w:rPr>
          <w:rFonts w:asciiTheme="majorHAnsi" w:eastAsia="Times New Roman" w:hAnsiTheme="majorHAnsi" w:cs="Arial"/>
          <w:sz w:val="24"/>
          <w:szCs w:val="24"/>
        </w:rPr>
        <w:t>riunioni svolte</w:t>
      </w:r>
      <w:r w:rsidRPr="00866EBD">
        <w:rPr>
          <w:rFonts w:asciiTheme="majorHAnsi" w:eastAsia="Times New Roman" w:hAnsiTheme="majorHAnsi" w:cs="Arial"/>
          <w:sz w:val="24"/>
          <w:szCs w:val="24"/>
        </w:rPr>
        <w:t>si a Venezia in data</w:t>
      </w:r>
      <w:r w:rsidR="00160163" w:rsidRPr="00866EBD">
        <w:rPr>
          <w:rFonts w:asciiTheme="majorHAnsi" w:eastAsia="Times New Roman" w:hAnsiTheme="majorHAnsi" w:cs="Arial"/>
          <w:sz w:val="24"/>
          <w:szCs w:val="24"/>
        </w:rPr>
        <w:t xml:space="preserve"> </w:t>
      </w:r>
      <w:r w:rsidR="00160163" w:rsidRPr="00866EBD">
        <w:rPr>
          <w:rFonts w:asciiTheme="majorHAnsi" w:hAnsiTheme="majorHAnsi"/>
          <w:sz w:val="24"/>
          <w:szCs w:val="24"/>
        </w:rPr>
        <w:t>in data 3 febbraio 2016 e 15 dicembre 2016</w:t>
      </w:r>
      <w:r w:rsidRPr="00866EBD">
        <w:rPr>
          <w:rFonts w:asciiTheme="majorHAnsi" w:eastAsia="Times New Roman" w:hAnsiTheme="majorHAnsi" w:cs="Arial"/>
          <w:sz w:val="24"/>
          <w:szCs w:val="24"/>
        </w:rPr>
        <w:t>;</w:t>
      </w:r>
    </w:p>
    <w:p w14:paraId="2F493F88" w14:textId="2548ED70" w:rsidR="00AC2D5A" w:rsidRPr="00866EBD" w:rsidRDefault="00AC2D5A" w:rsidP="00866EBD">
      <w:pPr>
        <w:numPr>
          <w:ilvl w:val="0"/>
          <w:numId w:val="7"/>
        </w:numPr>
        <w:tabs>
          <w:tab w:val="left" w:pos="0"/>
        </w:tabs>
        <w:autoSpaceDE w:val="0"/>
        <w:autoSpaceDN w:val="0"/>
        <w:adjustRightInd w:val="0"/>
        <w:spacing w:after="0" w:line="240" w:lineRule="auto"/>
        <w:ind w:left="0" w:firstLine="0"/>
        <w:jc w:val="both"/>
        <w:rPr>
          <w:rFonts w:asciiTheme="majorHAnsi" w:eastAsia="Times New Roman" w:hAnsiTheme="majorHAnsi" w:cs="Arial"/>
          <w:sz w:val="24"/>
          <w:szCs w:val="24"/>
        </w:rPr>
      </w:pPr>
      <w:r w:rsidRPr="00866EBD">
        <w:rPr>
          <w:rFonts w:asciiTheme="majorHAnsi" w:eastAsia="Times New Roman" w:hAnsiTheme="majorHAnsi" w:cs="Arial"/>
          <w:sz w:val="24"/>
          <w:szCs w:val="24"/>
        </w:rPr>
        <w:t>per il POR FSE 2014/2020, nel corso della riunione svoltasi a Venezia in data</w:t>
      </w:r>
      <w:r w:rsidR="00160163" w:rsidRPr="00866EBD">
        <w:rPr>
          <w:rFonts w:asciiTheme="majorHAnsi" w:hAnsiTheme="majorHAnsi"/>
          <w:sz w:val="24"/>
          <w:szCs w:val="24"/>
        </w:rPr>
        <w:t xml:space="preserve"> in data 27 maggio 2016.</w:t>
      </w:r>
    </w:p>
    <w:p w14:paraId="28171688" w14:textId="77777777" w:rsidR="00AC2D5A" w:rsidRPr="00797570" w:rsidRDefault="00AC2D5A" w:rsidP="00D6157C">
      <w:pPr>
        <w:spacing w:after="0" w:line="240" w:lineRule="auto"/>
        <w:jc w:val="both"/>
        <w:rPr>
          <w:rFonts w:asciiTheme="majorHAnsi" w:eastAsia="Times New Roman" w:hAnsiTheme="majorHAnsi" w:cs="Arial"/>
          <w:b/>
        </w:rPr>
      </w:pPr>
    </w:p>
    <w:p w14:paraId="1FE4C17E" w14:textId="77777777" w:rsidR="00AF1249" w:rsidRPr="00797570" w:rsidRDefault="00AF1249" w:rsidP="00AF1249">
      <w:pPr>
        <w:widowControl w:val="0"/>
        <w:tabs>
          <w:tab w:val="left" w:pos="1108"/>
        </w:tabs>
        <w:spacing w:before="137" w:after="0" w:line="240" w:lineRule="auto"/>
        <w:ind w:left="1107"/>
        <w:rPr>
          <w:rFonts w:asciiTheme="majorHAnsi" w:hAnsiTheme="majorHAnsi"/>
          <w:b/>
          <w:sz w:val="24"/>
          <w:u w:val="thick" w:color="000000"/>
        </w:rPr>
      </w:pPr>
    </w:p>
    <w:p w14:paraId="2031CF29" w14:textId="272B4E8C" w:rsidR="00B54090" w:rsidRPr="00797570" w:rsidRDefault="00B54090" w:rsidP="00AF1249">
      <w:pPr>
        <w:pStyle w:val="Titolo1"/>
        <w:tabs>
          <w:tab w:val="left" w:pos="1175"/>
        </w:tabs>
        <w:ind w:left="1134"/>
        <w:rPr>
          <w:rFonts w:asciiTheme="majorHAnsi" w:hAnsiTheme="majorHAnsi"/>
          <w:b w:val="0"/>
          <w:bCs w:val="0"/>
          <w:u w:val="none"/>
          <w:lang w:val="it-IT"/>
        </w:rPr>
      </w:pPr>
      <w:r w:rsidRPr="00797570">
        <w:rPr>
          <w:rFonts w:asciiTheme="majorHAnsi" w:hAnsiTheme="majorHAnsi"/>
          <w:u w:val="thick" w:color="000000"/>
          <w:lang w:val="it-IT"/>
        </w:rPr>
        <w:t>4.3</w:t>
      </w:r>
      <w:r w:rsidRPr="00797570">
        <w:rPr>
          <w:rFonts w:asciiTheme="majorHAnsi" w:hAnsiTheme="majorHAnsi"/>
          <w:spacing w:val="-3"/>
          <w:u w:val="thick" w:color="000000"/>
          <w:lang w:val="it-IT"/>
        </w:rPr>
        <w:t xml:space="preserve"> </w:t>
      </w:r>
      <w:r w:rsidRPr="00797570">
        <w:rPr>
          <w:rFonts w:asciiTheme="majorHAnsi" w:hAnsiTheme="majorHAnsi"/>
          <w:u w:val="thick" w:color="000000"/>
          <w:lang w:val="it-IT"/>
        </w:rPr>
        <w:t>-</w:t>
      </w:r>
      <w:r w:rsidRPr="00797570">
        <w:rPr>
          <w:rFonts w:asciiTheme="majorHAnsi" w:hAnsiTheme="majorHAnsi"/>
          <w:spacing w:val="-2"/>
          <w:u w:val="thick" w:color="000000"/>
          <w:lang w:val="it-IT"/>
        </w:rPr>
        <w:t xml:space="preserve"> </w:t>
      </w:r>
      <w:r w:rsidR="000173F8" w:rsidRPr="00797570">
        <w:rPr>
          <w:rFonts w:asciiTheme="majorHAnsi" w:hAnsiTheme="majorHAnsi"/>
          <w:u w:val="thick" w:color="000000"/>
          <w:lang w:val="it-IT"/>
        </w:rPr>
        <w:t>L</w:t>
      </w:r>
      <w:r w:rsidRPr="00797570">
        <w:rPr>
          <w:rFonts w:asciiTheme="majorHAnsi" w:hAnsiTheme="majorHAnsi"/>
          <w:u w:val="thick" w:color="000000"/>
          <w:lang w:val="it-IT"/>
        </w:rPr>
        <w:t>o</w:t>
      </w:r>
      <w:r w:rsidRPr="00797570">
        <w:rPr>
          <w:rFonts w:asciiTheme="majorHAnsi" w:hAnsiTheme="majorHAnsi"/>
          <w:spacing w:val="-2"/>
          <w:u w:val="thick" w:color="000000"/>
          <w:lang w:val="it-IT"/>
        </w:rPr>
        <w:t xml:space="preserve"> </w:t>
      </w:r>
      <w:r w:rsidRPr="00797570">
        <w:rPr>
          <w:rFonts w:asciiTheme="majorHAnsi" w:hAnsiTheme="majorHAnsi"/>
          <w:u w:val="thick" w:color="000000"/>
          <w:lang w:val="it-IT"/>
        </w:rPr>
        <w:t>stato</w:t>
      </w:r>
      <w:r w:rsidRPr="00797570">
        <w:rPr>
          <w:rFonts w:asciiTheme="majorHAnsi" w:hAnsiTheme="majorHAnsi"/>
          <w:spacing w:val="-3"/>
          <w:u w:val="thick" w:color="000000"/>
          <w:lang w:val="it-IT"/>
        </w:rPr>
        <w:t xml:space="preserve"> </w:t>
      </w:r>
      <w:r w:rsidRPr="00797570">
        <w:rPr>
          <w:rFonts w:asciiTheme="majorHAnsi" w:hAnsiTheme="majorHAnsi"/>
          <w:u w:val="thick" w:color="000000"/>
          <w:lang w:val="it-IT"/>
        </w:rPr>
        <w:t>della</w:t>
      </w:r>
      <w:r w:rsidRPr="00797570">
        <w:rPr>
          <w:rFonts w:asciiTheme="majorHAnsi" w:hAnsiTheme="majorHAnsi"/>
          <w:spacing w:val="-2"/>
          <w:u w:val="thick" w:color="000000"/>
          <w:lang w:val="it-IT"/>
        </w:rPr>
        <w:t xml:space="preserve"> </w:t>
      </w:r>
      <w:r w:rsidRPr="00797570">
        <w:rPr>
          <w:rFonts w:asciiTheme="majorHAnsi" w:hAnsiTheme="majorHAnsi"/>
          <w:u w:val="thick" w:color="000000"/>
          <w:lang w:val="it-IT"/>
        </w:rPr>
        <w:t>valutazione</w:t>
      </w:r>
      <w:r w:rsidRPr="00797570">
        <w:rPr>
          <w:rFonts w:asciiTheme="majorHAnsi" w:hAnsiTheme="majorHAnsi"/>
          <w:spacing w:val="-2"/>
          <w:u w:val="thick" w:color="000000"/>
          <w:lang w:val="it-IT"/>
        </w:rPr>
        <w:t xml:space="preserve"> </w:t>
      </w:r>
      <w:r w:rsidRPr="00797570">
        <w:rPr>
          <w:rFonts w:asciiTheme="majorHAnsi" w:hAnsiTheme="majorHAnsi"/>
          <w:u w:val="thick" w:color="000000"/>
          <w:lang w:val="it-IT"/>
        </w:rPr>
        <w:t>indipendente</w:t>
      </w:r>
      <w:r w:rsidRPr="00797570">
        <w:rPr>
          <w:rFonts w:asciiTheme="majorHAnsi" w:hAnsiTheme="majorHAnsi"/>
          <w:spacing w:val="-3"/>
          <w:u w:val="thick" w:color="000000"/>
          <w:lang w:val="it-IT"/>
        </w:rPr>
        <w:t xml:space="preserve"> </w:t>
      </w:r>
      <w:r w:rsidRPr="00797570">
        <w:rPr>
          <w:rFonts w:asciiTheme="majorHAnsi" w:hAnsiTheme="majorHAnsi"/>
          <w:u w:val="thick" w:color="000000"/>
          <w:lang w:val="it-IT"/>
        </w:rPr>
        <w:t>del</w:t>
      </w:r>
      <w:r w:rsidRPr="00797570">
        <w:rPr>
          <w:rFonts w:asciiTheme="majorHAnsi" w:hAnsiTheme="majorHAnsi"/>
          <w:spacing w:val="-2"/>
          <w:u w:val="thick" w:color="000000"/>
          <w:lang w:val="it-IT"/>
        </w:rPr>
        <w:t xml:space="preserve"> </w:t>
      </w:r>
      <w:r w:rsidRPr="00797570">
        <w:rPr>
          <w:rFonts w:asciiTheme="majorHAnsi" w:hAnsiTheme="majorHAnsi"/>
          <w:u w:val="thick" w:color="000000"/>
          <w:lang w:val="it-IT"/>
        </w:rPr>
        <w:t>PRA</w:t>
      </w:r>
      <w:r w:rsidRPr="00797570">
        <w:rPr>
          <w:rFonts w:asciiTheme="majorHAnsi" w:hAnsiTheme="majorHAnsi"/>
          <w:spacing w:val="-2"/>
          <w:u w:val="thick" w:color="000000"/>
          <w:lang w:val="it-IT"/>
        </w:rPr>
        <w:t xml:space="preserve"> </w:t>
      </w:r>
      <w:r w:rsidRPr="00797570">
        <w:rPr>
          <w:rFonts w:asciiTheme="majorHAnsi" w:hAnsiTheme="majorHAnsi"/>
          <w:u w:val="thick" w:color="000000"/>
          <w:lang w:val="it-IT"/>
        </w:rPr>
        <w:t>(quando</w:t>
      </w:r>
      <w:r w:rsidRPr="00797570">
        <w:rPr>
          <w:rFonts w:asciiTheme="majorHAnsi" w:hAnsiTheme="majorHAnsi"/>
          <w:spacing w:val="-2"/>
          <w:u w:val="thick" w:color="000000"/>
          <w:lang w:val="it-IT"/>
        </w:rPr>
        <w:t xml:space="preserve"> </w:t>
      </w:r>
      <w:r w:rsidRPr="00797570">
        <w:rPr>
          <w:rFonts w:asciiTheme="majorHAnsi" w:hAnsiTheme="majorHAnsi"/>
          <w:u w:val="thick" w:color="000000"/>
          <w:lang w:val="it-IT"/>
        </w:rPr>
        <w:t>attivata)</w:t>
      </w:r>
    </w:p>
    <w:p w14:paraId="4AA2E8C2" w14:textId="10E33C79" w:rsidR="00AF1249" w:rsidRPr="00797570" w:rsidRDefault="00AC2D5A" w:rsidP="00AF1249">
      <w:pPr>
        <w:autoSpaceDE w:val="0"/>
        <w:autoSpaceDN w:val="0"/>
        <w:adjustRightInd w:val="0"/>
        <w:spacing w:after="120" w:line="240" w:lineRule="auto"/>
        <w:ind w:left="1134" w:right="-20"/>
        <w:jc w:val="both"/>
        <w:rPr>
          <w:rFonts w:asciiTheme="majorHAnsi" w:hAnsiTheme="majorHAnsi" w:cs="Times New Roman"/>
          <w:position w:val="1"/>
          <w:sz w:val="24"/>
          <w:szCs w:val="24"/>
        </w:rPr>
      </w:pPr>
      <w:r w:rsidRPr="00797570">
        <w:rPr>
          <w:rFonts w:asciiTheme="majorHAnsi" w:hAnsiTheme="majorHAnsi" w:cs="Times New Roman"/>
          <w:position w:val="1"/>
          <w:sz w:val="24"/>
          <w:szCs w:val="24"/>
        </w:rPr>
        <w:t>Non attivata.</w:t>
      </w:r>
    </w:p>
    <w:p w14:paraId="7D2FA495" w14:textId="77777777" w:rsidR="00B54090" w:rsidRPr="00797570" w:rsidRDefault="00B54090" w:rsidP="00B54090">
      <w:pPr>
        <w:pStyle w:val="Titolo1"/>
        <w:rPr>
          <w:rFonts w:asciiTheme="majorHAnsi" w:hAnsiTheme="majorHAnsi"/>
          <w:u w:val="none"/>
        </w:rPr>
      </w:pPr>
    </w:p>
    <w:p w14:paraId="19F9E92E" w14:textId="77777777" w:rsidR="00B54090" w:rsidRPr="00797570" w:rsidRDefault="00B54090" w:rsidP="00B54090">
      <w:pPr>
        <w:pStyle w:val="Titolo1"/>
        <w:rPr>
          <w:rFonts w:asciiTheme="majorHAnsi" w:hAnsiTheme="majorHAnsi"/>
          <w:b w:val="0"/>
          <w:bCs w:val="0"/>
          <w:u w:val="none"/>
        </w:rPr>
      </w:pPr>
      <w:proofErr w:type="spellStart"/>
      <w:r w:rsidRPr="00797570">
        <w:rPr>
          <w:rFonts w:asciiTheme="majorHAnsi" w:hAnsiTheme="majorHAnsi"/>
          <w:u w:val="none"/>
        </w:rPr>
        <w:t>Allegati</w:t>
      </w:r>
      <w:proofErr w:type="spellEnd"/>
    </w:p>
    <w:p w14:paraId="2373510B" w14:textId="098683BF" w:rsidR="00B54090" w:rsidRPr="00797570" w:rsidRDefault="00B54090" w:rsidP="00B54090">
      <w:pPr>
        <w:widowControl w:val="0"/>
        <w:numPr>
          <w:ilvl w:val="0"/>
          <w:numId w:val="6"/>
        </w:numPr>
        <w:tabs>
          <w:tab w:val="left" w:pos="375"/>
        </w:tabs>
        <w:spacing w:before="117" w:after="0" w:line="240" w:lineRule="auto"/>
        <w:rPr>
          <w:rFonts w:asciiTheme="majorHAnsi" w:eastAsia="Times New Roman" w:hAnsiTheme="majorHAnsi" w:cs="Times New Roman"/>
          <w:sz w:val="24"/>
          <w:szCs w:val="24"/>
        </w:rPr>
      </w:pPr>
      <w:r w:rsidRPr="00797570">
        <w:rPr>
          <w:rFonts w:asciiTheme="majorHAnsi" w:hAnsiTheme="majorHAnsi"/>
          <w:i/>
          <w:sz w:val="24"/>
        </w:rPr>
        <w:t>le</w:t>
      </w:r>
      <w:r w:rsidRPr="00797570">
        <w:rPr>
          <w:rFonts w:asciiTheme="majorHAnsi" w:hAnsiTheme="majorHAnsi"/>
          <w:i/>
          <w:spacing w:val="-3"/>
          <w:sz w:val="24"/>
        </w:rPr>
        <w:t xml:space="preserve"> </w:t>
      </w:r>
      <w:r w:rsidRPr="00797570">
        <w:rPr>
          <w:rFonts w:asciiTheme="majorHAnsi" w:hAnsiTheme="majorHAnsi"/>
          <w:i/>
          <w:sz w:val="24"/>
        </w:rPr>
        <w:t>schede</w:t>
      </w:r>
      <w:r w:rsidRPr="00797570">
        <w:rPr>
          <w:rFonts w:asciiTheme="majorHAnsi" w:hAnsiTheme="majorHAnsi"/>
          <w:i/>
          <w:spacing w:val="-3"/>
          <w:sz w:val="24"/>
        </w:rPr>
        <w:t xml:space="preserve"> </w:t>
      </w:r>
      <w:r w:rsidRPr="00797570">
        <w:rPr>
          <w:rFonts w:asciiTheme="majorHAnsi" w:hAnsiTheme="majorHAnsi"/>
          <w:i/>
          <w:sz w:val="24"/>
        </w:rPr>
        <w:t>di</w:t>
      </w:r>
      <w:r w:rsidRPr="00797570">
        <w:rPr>
          <w:rFonts w:asciiTheme="majorHAnsi" w:hAnsiTheme="majorHAnsi"/>
          <w:i/>
          <w:spacing w:val="-3"/>
          <w:sz w:val="24"/>
        </w:rPr>
        <w:t xml:space="preserve"> </w:t>
      </w:r>
      <w:r w:rsidRPr="00797570">
        <w:rPr>
          <w:rFonts w:asciiTheme="majorHAnsi" w:hAnsiTheme="majorHAnsi"/>
          <w:i/>
          <w:sz w:val="24"/>
        </w:rPr>
        <w:t>monitoraggio</w:t>
      </w:r>
      <w:r w:rsidRPr="00797570">
        <w:rPr>
          <w:rFonts w:asciiTheme="majorHAnsi" w:hAnsiTheme="majorHAnsi"/>
          <w:i/>
          <w:spacing w:val="-3"/>
          <w:sz w:val="24"/>
        </w:rPr>
        <w:t xml:space="preserve"> </w:t>
      </w:r>
      <w:r w:rsidRPr="00797570">
        <w:rPr>
          <w:rFonts w:asciiTheme="majorHAnsi" w:hAnsiTheme="majorHAnsi"/>
          <w:i/>
          <w:sz w:val="24"/>
        </w:rPr>
        <w:t>con</w:t>
      </w:r>
      <w:r w:rsidRPr="00797570">
        <w:rPr>
          <w:rFonts w:asciiTheme="majorHAnsi" w:hAnsiTheme="majorHAnsi"/>
          <w:i/>
          <w:spacing w:val="-3"/>
          <w:sz w:val="24"/>
        </w:rPr>
        <w:t xml:space="preserve"> </w:t>
      </w:r>
      <w:r w:rsidRPr="00797570">
        <w:rPr>
          <w:rFonts w:asciiTheme="majorHAnsi" w:hAnsiTheme="majorHAnsi"/>
          <w:i/>
          <w:sz w:val="24"/>
        </w:rPr>
        <w:t>dati</w:t>
      </w:r>
      <w:r w:rsidRPr="00797570">
        <w:rPr>
          <w:rFonts w:asciiTheme="majorHAnsi" w:hAnsiTheme="majorHAnsi"/>
          <w:i/>
          <w:spacing w:val="-3"/>
          <w:sz w:val="24"/>
        </w:rPr>
        <w:t xml:space="preserve"> </w:t>
      </w:r>
      <w:r w:rsidRPr="00797570">
        <w:rPr>
          <w:rFonts w:asciiTheme="majorHAnsi" w:hAnsiTheme="majorHAnsi"/>
          <w:i/>
          <w:sz w:val="24"/>
        </w:rPr>
        <w:t>al</w:t>
      </w:r>
      <w:r w:rsidRPr="00797570">
        <w:rPr>
          <w:rFonts w:asciiTheme="majorHAnsi" w:hAnsiTheme="majorHAnsi"/>
          <w:i/>
          <w:spacing w:val="-3"/>
          <w:sz w:val="24"/>
        </w:rPr>
        <w:t xml:space="preserve"> </w:t>
      </w:r>
      <w:r w:rsidRPr="00797570">
        <w:rPr>
          <w:rFonts w:asciiTheme="majorHAnsi" w:hAnsiTheme="majorHAnsi"/>
          <w:i/>
          <w:sz w:val="24"/>
        </w:rPr>
        <w:t>30</w:t>
      </w:r>
      <w:r w:rsidRPr="00797570">
        <w:rPr>
          <w:rFonts w:asciiTheme="majorHAnsi" w:hAnsiTheme="majorHAnsi"/>
          <w:i/>
          <w:spacing w:val="-3"/>
          <w:sz w:val="24"/>
        </w:rPr>
        <w:t xml:space="preserve"> </w:t>
      </w:r>
      <w:r w:rsidRPr="00797570">
        <w:rPr>
          <w:rFonts w:asciiTheme="majorHAnsi" w:hAnsiTheme="majorHAnsi"/>
          <w:i/>
          <w:sz w:val="24"/>
        </w:rPr>
        <w:t>aprile</w:t>
      </w:r>
      <w:r w:rsidRPr="00797570">
        <w:rPr>
          <w:rFonts w:asciiTheme="majorHAnsi" w:hAnsiTheme="majorHAnsi"/>
          <w:i/>
          <w:spacing w:val="-3"/>
          <w:sz w:val="24"/>
        </w:rPr>
        <w:t xml:space="preserve"> </w:t>
      </w:r>
      <w:r w:rsidRPr="00797570">
        <w:rPr>
          <w:rFonts w:asciiTheme="majorHAnsi" w:hAnsiTheme="majorHAnsi"/>
          <w:i/>
          <w:sz w:val="24"/>
        </w:rPr>
        <w:t>2017;</w:t>
      </w:r>
    </w:p>
    <w:p w14:paraId="19F8E9D7" w14:textId="77777777" w:rsidR="00B54090" w:rsidRPr="00797570" w:rsidRDefault="00B54090" w:rsidP="00B54090">
      <w:pPr>
        <w:widowControl w:val="0"/>
        <w:numPr>
          <w:ilvl w:val="0"/>
          <w:numId w:val="6"/>
        </w:numPr>
        <w:tabs>
          <w:tab w:val="left" w:pos="375"/>
        </w:tabs>
        <w:spacing w:before="122" w:after="0" w:line="240" w:lineRule="auto"/>
        <w:rPr>
          <w:rFonts w:asciiTheme="majorHAnsi" w:eastAsia="Times New Roman" w:hAnsiTheme="majorHAnsi" w:cs="Times New Roman"/>
          <w:sz w:val="24"/>
          <w:szCs w:val="24"/>
        </w:rPr>
      </w:pPr>
      <w:r w:rsidRPr="00797570">
        <w:rPr>
          <w:rFonts w:asciiTheme="majorHAnsi" w:eastAsia="Times New Roman" w:hAnsiTheme="majorHAnsi" w:cs="Times New Roman"/>
          <w:i/>
          <w:sz w:val="24"/>
          <w:szCs w:val="24"/>
        </w:rPr>
        <w:t>aggiornamento</w:t>
      </w:r>
      <w:r w:rsidRPr="00797570">
        <w:rPr>
          <w:rFonts w:asciiTheme="majorHAnsi" w:eastAsia="Times New Roman" w:hAnsiTheme="majorHAnsi" w:cs="Times New Roman"/>
          <w:i/>
          <w:spacing w:val="-5"/>
          <w:sz w:val="24"/>
          <w:szCs w:val="24"/>
        </w:rPr>
        <w:t xml:space="preserve"> </w:t>
      </w:r>
      <w:r w:rsidRPr="00797570">
        <w:rPr>
          <w:rFonts w:asciiTheme="majorHAnsi" w:eastAsia="Times New Roman" w:hAnsiTheme="majorHAnsi" w:cs="Times New Roman"/>
          <w:i/>
          <w:sz w:val="24"/>
          <w:szCs w:val="24"/>
        </w:rPr>
        <w:t>dell’allegato</w:t>
      </w:r>
      <w:r w:rsidRPr="00797570">
        <w:rPr>
          <w:rFonts w:asciiTheme="majorHAnsi" w:eastAsia="Times New Roman" w:hAnsiTheme="majorHAnsi" w:cs="Times New Roman"/>
          <w:i/>
          <w:spacing w:val="-5"/>
          <w:sz w:val="24"/>
          <w:szCs w:val="24"/>
        </w:rPr>
        <w:t xml:space="preserve"> </w:t>
      </w:r>
      <w:r w:rsidRPr="00797570">
        <w:rPr>
          <w:rFonts w:asciiTheme="majorHAnsi" w:eastAsia="Times New Roman" w:hAnsiTheme="majorHAnsi" w:cs="Times New Roman"/>
          <w:i/>
          <w:sz w:val="24"/>
          <w:szCs w:val="24"/>
        </w:rPr>
        <w:t>A</w:t>
      </w:r>
      <w:r w:rsidRPr="00797570">
        <w:rPr>
          <w:rFonts w:asciiTheme="majorHAnsi" w:eastAsia="Times New Roman" w:hAnsiTheme="majorHAnsi" w:cs="Times New Roman"/>
          <w:i/>
          <w:spacing w:val="-4"/>
          <w:sz w:val="24"/>
          <w:szCs w:val="24"/>
        </w:rPr>
        <w:t xml:space="preserve"> </w:t>
      </w:r>
      <w:r w:rsidRPr="00797570">
        <w:rPr>
          <w:rFonts w:asciiTheme="majorHAnsi" w:eastAsia="Times New Roman" w:hAnsiTheme="majorHAnsi" w:cs="Times New Roman"/>
          <w:i/>
          <w:sz w:val="24"/>
          <w:szCs w:val="24"/>
        </w:rPr>
        <w:t>del</w:t>
      </w:r>
      <w:r w:rsidRPr="00797570">
        <w:rPr>
          <w:rFonts w:asciiTheme="majorHAnsi" w:eastAsia="Times New Roman" w:hAnsiTheme="majorHAnsi" w:cs="Times New Roman"/>
          <w:i/>
          <w:spacing w:val="-5"/>
          <w:sz w:val="24"/>
          <w:szCs w:val="24"/>
        </w:rPr>
        <w:t xml:space="preserve"> </w:t>
      </w:r>
      <w:r w:rsidRPr="00797570">
        <w:rPr>
          <w:rFonts w:asciiTheme="majorHAnsi" w:eastAsia="Times New Roman" w:hAnsiTheme="majorHAnsi" w:cs="Times New Roman"/>
          <w:i/>
          <w:sz w:val="24"/>
          <w:szCs w:val="24"/>
        </w:rPr>
        <w:t>PRA</w:t>
      </w:r>
      <w:r w:rsidRPr="00797570">
        <w:rPr>
          <w:rFonts w:asciiTheme="majorHAnsi" w:eastAsia="Times New Roman" w:hAnsiTheme="majorHAnsi" w:cs="Times New Roman"/>
          <w:i/>
          <w:spacing w:val="-5"/>
          <w:sz w:val="24"/>
          <w:szCs w:val="24"/>
        </w:rPr>
        <w:t xml:space="preserve"> </w:t>
      </w:r>
      <w:r w:rsidRPr="00797570">
        <w:rPr>
          <w:rFonts w:asciiTheme="majorHAnsi" w:eastAsia="Times New Roman" w:hAnsiTheme="majorHAnsi" w:cs="Times New Roman"/>
          <w:i/>
          <w:sz w:val="24"/>
          <w:szCs w:val="24"/>
        </w:rPr>
        <w:t>con</w:t>
      </w:r>
      <w:r w:rsidRPr="00797570">
        <w:rPr>
          <w:rFonts w:asciiTheme="majorHAnsi" w:eastAsia="Times New Roman" w:hAnsiTheme="majorHAnsi" w:cs="Times New Roman"/>
          <w:i/>
          <w:spacing w:val="-4"/>
          <w:sz w:val="24"/>
          <w:szCs w:val="24"/>
        </w:rPr>
        <w:t xml:space="preserve"> </w:t>
      </w:r>
      <w:r w:rsidRPr="00797570">
        <w:rPr>
          <w:rFonts w:asciiTheme="majorHAnsi" w:eastAsia="Times New Roman" w:hAnsiTheme="majorHAnsi" w:cs="Times New Roman"/>
          <w:i/>
          <w:sz w:val="24"/>
          <w:szCs w:val="24"/>
        </w:rPr>
        <w:t>il</w:t>
      </w:r>
      <w:r w:rsidRPr="00797570">
        <w:rPr>
          <w:rFonts w:asciiTheme="majorHAnsi" w:eastAsia="Times New Roman" w:hAnsiTheme="majorHAnsi" w:cs="Times New Roman"/>
          <w:i/>
          <w:spacing w:val="-5"/>
          <w:sz w:val="24"/>
          <w:szCs w:val="24"/>
        </w:rPr>
        <w:t xml:space="preserve"> </w:t>
      </w:r>
      <w:r w:rsidRPr="00797570">
        <w:rPr>
          <w:rFonts w:asciiTheme="majorHAnsi" w:eastAsia="Times New Roman" w:hAnsiTheme="majorHAnsi" w:cs="Times New Roman"/>
          <w:i/>
          <w:sz w:val="24"/>
          <w:szCs w:val="24"/>
        </w:rPr>
        <w:t>personale</w:t>
      </w:r>
      <w:r w:rsidRPr="00797570">
        <w:rPr>
          <w:rFonts w:asciiTheme="majorHAnsi" w:eastAsia="Times New Roman" w:hAnsiTheme="majorHAnsi" w:cs="Times New Roman"/>
          <w:i/>
          <w:spacing w:val="-5"/>
          <w:sz w:val="24"/>
          <w:szCs w:val="24"/>
        </w:rPr>
        <w:t xml:space="preserve"> </w:t>
      </w:r>
      <w:r w:rsidRPr="00797570">
        <w:rPr>
          <w:rFonts w:asciiTheme="majorHAnsi" w:eastAsia="Times New Roman" w:hAnsiTheme="majorHAnsi" w:cs="Times New Roman"/>
          <w:i/>
          <w:sz w:val="24"/>
          <w:szCs w:val="24"/>
        </w:rPr>
        <w:t>al</w:t>
      </w:r>
      <w:r w:rsidRPr="00797570">
        <w:rPr>
          <w:rFonts w:asciiTheme="majorHAnsi" w:eastAsia="Times New Roman" w:hAnsiTheme="majorHAnsi" w:cs="Times New Roman"/>
          <w:i/>
          <w:spacing w:val="-4"/>
          <w:sz w:val="24"/>
          <w:szCs w:val="24"/>
        </w:rPr>
        <w:t xml:space="preserve"> </w:t>
      </w:r>
      <w:r w:rsidRPr="00797570">
        <w:rPr>
          <w:rFonts w:asciiTheme="majorHAnsi" w:eastAsia="Times New Roman" w:hAnsiTheme="majorHAnsi" w:cs="Times New Roman"/>
          <w:i/>
          <w:sz w:val="24"/>
          <w:szCs w:val="24"/>
        </w:rPr>
        <w:t>momento</w:t>
      </w:r>
      <w:r w:rsidRPr="00797570">
        <w:rPr>
          <w:rFonts w:asciiTheme="majorHAnsi" w:eastAsia="Times New Roman" w:hAnsiTheme="majorHAnsi" w:cs="Times New Roman"/>
          <w:i/>
          <w:spacing w:val="-5"/>
          <w:sz w:val="24"/>
          <w:szCs w:val="24"/>
        </w:rPr>
        <w:t xml:space="preserve"> </w:t>
      </w:r>
      <w:r w:rsidRPr="00797570">
        <w:rPr>
          <w:rFonts w:asciiTheme="majorHAnsi" w:eastAsia="Times New Roman" w:hAnsiTheme="majorHAnsi" w:cs="Times New Roman"/>
          <w:i/>
          <w:sz w:val="24"/>
          <w:szCs w:val="24"/>
        </w:rPr>
        <w:t>assegnato</w:t>
      </w:r>
    </w:p>
    <w:p w14:paraId="34BA2042" w14:textId="77777777" w:rsidR="00B54090" w:rsidRPr="00797570" w:rsidRDefault="00B54090" w:rsidP="00B54090">
      <w:pPr>
        <w:autoSpaceDE w:val="0"/>
        <w:autoSpaceDN w:val="0"/>
        <w:adjustRightInd w:val="0"/>
        <w:spacing w:after="120" w:line="240" w:lineRule="auto"/>
        <w:ind w:left="40" w:right="-20"/>
        <w:jc w:val="both"/>
        <w:rPr>
          <w:rFonts w:asciiTheme="majorHAnsi" w:eastAsia="Calibri" w:hAnsiTheme="majorHAnsi" w:cs="Times New Roman"/>
          <w:b/>
          <w:sz w:val="24"/>
          <w:szCs w:val="24"/>
          <w:u w:val="single"/>
        </w:rPr>
      </w:pPr>
    </w:p>
    <w:p w14:paraId="0E3C9AB2" w14:textId="77777777" w:rsidR="00AC7AC4" w:rsidRPr="00797570" w:rsidRDefault="00AC7AC4">
      <w:pPr>
        <w:autoSpaceDE w:val="0"/>
        <w:autoSpaceDN w:val="0"/>
        <w:adjustRightInd w:val="0"/>
        <w:spacing w:after="120" w:line="240" w:lineRule="auto"/>
        <w:ind w:left="40" w:right="-20"/>
        <w:jc w:val="both"/>
        <w:rPr>
          <w:rFonts w:asciiTheme="majorHAnsi" w:eastAsia="Calibri" w:hAnsiTheme="majorHAnsi" w:cs="Times New Roman"/>
          <w:b/>
          <w:sz w:val="24"/>
          <w:szCs w:val="24"/>
          <w:u w:val="single"/>
        </w:rPr>
      </w:pPr>
    </w:p>
    <w:sectPr w:rsidR="00AC7AC4" w:rsidRPr="00797570" w:rsidSect="00B54090">
      <w:footerReference w:type="even" r:id="rId9"/>
      <w:footerReference w:type="default" r:id="rId10"/>
      <w:pgSz w:w="11906" w:h="16838"/>
      <w:pgMar w:top="1823" w:right="1134" w:bottom="113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45B20" w14:textId="77777777" w:rsidR="0072612A" w:rsidRDefault="0072612A" w:rsidP="00375D83">
      <w:pPr>
        <w:spacing w:after="0" w:line="240" w:lineRule="auto"/>
      </w:pPr>
      <w:r>
        <w:separator/>
      </w:r>
    </w:p>
  </w:endnote>
  <w:endnote w:type="continuationSeparator" w:id="0">
    <w:p w14:paraId="339EBB20" w14:textId="77777777" w:rsidR="0072612A" w:rsidRDefault="0072612A" w:rsidP="0037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75A4" w14:textId="77777777" w:rsidR="00375D83" w:rsidRDefault="00037B14" w:rsidP="00E674FD">
    <w:pPr>
      <w:pStyle w:val="Pidipagina"/>
      <w:framePr w:wrap="none" w:vAnchor="text" w:hAnchor="margin" w:xAlign="right" w:y="1"/>
      <w:rPr>
        <w:rStyle w:val="Numeropagina"/>
      </w:rPr>
    </w:pPr>
    <w:r>
      <w:rPr>
        <w:rStyle w:val="Numeropagina"/>
      </w:rPr>
      <w:fldChar w:fldCharType="begin"/>
    </w:r>
    <w:r w:rsidR="00375D83">
      <w:rPr>
        <w:rStyle w:val="Numeropagina"/>
      </w:rPr>
      <w:instrText xml:space="preserve">PAGE  </w:instrText>
    </w:r>
    <w:r>
      <w:rPr>
        <w:rStyle w:val="Numeropagina"/>
      </w:rPr>
      <w:fldChar w:fldCharType="end"/>
    </w:r>
  </w:p>
  <w:p w14:paraId="2C0D06FF" w14:textId="77777777" w:rsidR="00375D83" w:rsidRDefault="00375D83" w:rsidP="00375D8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D6A06" w14:textId="77777777" w:rsidR="00375D83" w:rsidRDefault="00037B14" w:rsidP="00E674FD">
    <w:pPr>
      <w:pStyle w:val="Pidipagina"/>
      <w:framePr w:wrap="none" w:vAnchor="text" w:hAnchor="margin" w:xAlign="right" w:y="1"/>
      <w:rPr>
        <w:rStyle w:val="Numeropagina"/>
      </w:rPr>
    </w:pPr>
    <w:r>
      <w:rPr>
        <w:rStyle w:val="Numeropagina"/>
      </w:rPr>
      <w:fldChar w:fldCharType="begin"/>
    </w:r>
    <w:r w:rsidR="00375D83">
      <w:rPr>
        <w:rStyle w:val="Numeropagina"/>
      </w:rPr>
      <w:instrText xml:space="preserve">PAGE  </w:instrText>
    </w:r>
    <w:r>
      <w:rPr>
        <w:rStyle w:val="Numeropagina"/>
      </w:rPr>
      <w:fldChar w:fldCharType="separate"/>
    </w:r>
    <w:r w:rsidR="00706649">
      <w:rPr>
        <w:rStyle w:val="Numeropagina"/>
        <w:noProof/>
      </w:rPr>
      <w:t>1</w:t>
    </w:r>
    <w:r>
      <w:rPr>
        <w:rStyle w:val="Numeropagina"/>
      </w:rPr>
      <w:fldChar w:fldCharType="end"/>
    </w:r>
  </w:p>
  <w:p w14:paraId="0CA93E33" w14:textId="77777777" w:rsidR="00375D83" w:rsidRDefault="00375D83" w:rsidP="00B54090">
    <w:pPr>
      <w:pStyle w:val="Pidipagina"/>
      <w:framePr w:h="2265" w:hRule="exact" w:wrap="auto" w:hAnchor="text" w:y="-128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35B0C" w14:textId="77777777" w:rsidR="0072612A" w:rsidRDefault="0072612A" w:rsidP="00375D83">
      <w:pPr>
        <w:spacing w:after="0" w:line="240" w:lineRule="auto"/>
      </w:pPr>
      <w:r>
        <w:separator/>
      </w:r>
    </w:p>
  </w:footnote>
  <w:footnote w:type="continuationSeparator" w:id="0">
    <w:p w14:paraId="6A938D2F" w14:textId="77777777" w:rsidR="0072612A" w:rsidRDefault="0072612A" w:rsidP="00375D83">
      <w:pPr>
        <w:spacing w:after="0" w:line="240" w:lineRule="auto"/>
      </w:pPr>
      <w:r>
        <w:continuationSeparator/>
      </w:r>
    </w:p>
  </w:footnote>
  <w:footnote w:id="1">
    <w:p w14:paraId="709F6FE6" w14:textId="120C0BA5" w:rsidR="00621D2D" w:rsidRPr="00621D2D" w:rsidRDefault="00621D2D">
      <w:pPr>
        <w:pStyle w:val="Testonotaapidipagina"/>
        <w:rPr>
          <w:i/>
        </w:rPr>
      </w:pPr>
      <w:r w:rsidRPr="00621D2D">
        <w:rPr>
          <w:rStyle w:val="Rimandonotaapidipagina"/>
          <w:i/>
        </w:rPr>
        <w:footnoteRef/>
      </w:r>
      <w:r w:rsidRPr="00621D2D">
        <w:rPr>
          <w:i/>
        </w:rPr>
        <w:t xml:space="preserve"> </w:t>
      </w:r>
      <w:r w:rsidRPr="00621D2D">
        <w:rPr>
          <w:rFonts w:ascii="Times New Roman" w:hAnsi="Times New Roman" w:cs="Times New Roman"/>
          <w:i/>
        </w:rPr>
        <w:t xml:space="preserve">Dimensione indicativa della relazione </w:t>
      </w:r>
      <w:r>
        <w:rPr>
          <w:rFonts w:ascii="Times New Roman" w:hAnsi="Times New Roman" w:cs="Times New Roman"/>
          <w:i/>
        </w:rPr>
        <w:t xml:space="preserve">tra le </w:t>
      </w:r>
      <w:r w:rsidR="00AF1249" w:rsidRPr="00AF1249">
        <w:rPr>
          <w:rFonts w:ascii="Times New Roman" w:hAnsi="Times New Roman" w:cs="Times New Roman"/>
          <w:i/>
        </w:rPr>
        <w:t xml:space="preserve">1500 </w:t>
      </w:r>
      <w:r w:rsidR="00AF1249">
        <w:rPr>
          <w:rFonts w:ascii="Times New Roman" w:hAnsi="Times New Roman" w:cs="Times New Roman"/>
          <w:i/>
        </w:rPr>
        <w:t xml:space="preserve">e le 4000 </w:t>
      </w:r>
      <w:r w:rsidRPr="00621D2D">
        <w:rPr>
          <w:rFonts w:ascii="Times New Roman" w:hAnsi="Times New Roman" w:cs="Times New Roman"/>
          <w:i/>
        </w:rPr>
        <w:t>parole</w:t>
      </w:r>
      <w:r>
        <w:rPr>
          <w:rFonts w:ascii="Times New Roman" w:hAnsi="Times New Roman" w:cs="Times New Roman"/>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39C"/>
    <w:multiLevelType w:val="hybridMultilevel"/>
    <w:tmpl w:val="114E48A4"/>
    <w:lvl w:ilvl="0" w:tplc="BA804BB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1D613E"/>
    <w:multiLevelType w:val="hybridMultilevel"/>
    <w:tmpl w:val="BF3E6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C14F48"/>
    <w:multiLevelType w:val="hybridMultilevel"/>
    <w:tmpl w:val="7820DF2E"/>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3">
    <w:nsid w:val="0E0A497A"/>
    <w:multiLevelType w:val="hybridMultilevel"/>
    <w:tmpl w:val="6E3A3FA4"/>
    <w:lvl w:ilvl="0" w:tplc="E340D0C4">
      <w:start w:val="14"/>
      <w:numFmt w:val="bullet"/>
      <w:lvlText w:val="-"/>
      <w:lvlJc w:val="left"/>
      <w:pPr>
        <w:ind w:left="720" w:hanging="360"/>
      </w:pPr>
      <w:rPr>
        <w:rFonts w:ascii="Cambria" w:eastAsia="Times New Roman" w:hAnsi="Cambria"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56769B"/>
    <w:multiLevelType w:val="hybridMultilevel"/>
    <w:tmpl w:val="8BD2622C"/>
    <w:lvl w:ilvl="0" w:tplc="85581666">
      <w:start w:val="4"/>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166191"/>
    <w:multiLevelType w:val="hybridMultilevel"/>
    <w:tmpl w:val="81EA56A8"/>
    <w:lvl w:ilvl="0" w:tplc="BA804BB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507F40"/>
    <w:multiLevelType w:val="hybridMultilevel"/>
    <w:tmpl w:val="3302589E"/>
    <w:lvl w:ilvl="0" w:tplc="FEFA4B4C">
      <w:start w:val="1"/>
      <w:numFmt w:val="bullet"/>
      <w:lvlText w:val="•"/>
      <w:lvlJc w:val="left"/>
      <w:pPr>
        <w:ind w:left="1107" w:hanging="700"/>
      </w:pPr>
      <w:rPr>
        <w:rFonts w:ascii="Symbol" w:eastAsia="Symbol" w:hAnsi="Symbol" w:hint="default"/>
        <w:w w:val="99"/>
        <w:sz w:val="24"/>
        <w:szCs w:val="24"/>
      </w:rPr>
    </w:lvl>
    <w:lvl w:ilvl="1" w:tplc="FF748A74">
      <w:start w:val="1"/>
      <w:numFmt w:val="bullet"/>
      <w:lvlText w:val="•"/>
      <w:lvlJc w:val="left"/>
      <w:pPr>
        <w:ind w:left="1174" w:hanging="700"/>
      </w:pPr>
      <w:rPr>
        <w:rFonts w:ascii="Symbol" w:eastAsia="Symbol" w:hAnsi="Symbol" w:hint="default"/>
        <w:w w:val="99"/>
        <w:sz w:val="24"/>
        <w:szCs w:val="24"/>
      </w:rPr>
    </w:lvl>
    <w:lvl w:ilvl="2" w:tplc="FCFE2846">
      <w:start w:val="1"/>
      <w:numFmt w:val="bullet"/>
      <w:lvlText w:val="•"/>
      <w:lvlJc w:val="left"/>
      <w:pPr>
        <w:ind w:left="2141" w:hanging="700"/>
      </w:pPr>
      <w:rPr>
        <w:rFonts w:hint="default"/>
      </w:rPr>
    </w:lvl>
    <w:lvl w:ilvl="3" w:tplc="771A8306">
      <w:start w:val="1"/>
      <w:numFmt w:val="bullet"/>
      <w:lvlText w:val="•"/>
      <w:lvlJc w:val="left"/>
      <w:pPr>
        <w:ind w:left="3108" w:hanging="700"/>
      </w:pPr>
      <w:rPr>
        <w:rFonts w:hint="default"/>
      </w:rPr>
    </w:lvl>
    <w:lvl w:ilvl="4" w:tplc="1E888F72">
      <w:start w:val="1"/>
      <w:numFmt w:val="bullet"/>
      <w:lvlText w:val="•"/>
      <w:lvlJc w:val="left"/>
      <w:pPr>
        <w:ind w:left="4076" w:hanging="700"/>
      </w:pPr>
      <w:rPr>
        <w:rFonts w:hint="default"/>
      </w:rPr>
    </w:lvl>
    <w:lvl w:ilvl="5" w:tplc="8AE4C6C6">
      <w:start w:val="1"/>
      <w:numFmt w:val="bullet"/>
      <w:lvlText w:val="•"/>
      <w:lvlJc w:val="left"/>
      <w:pPr>
        <w:ind w:left="5043" w:hanging="700"/>
      </w:pPr>
      <w:rPr>
        <w:rFonts w:hint="default"/>
      </w:rPr>
    </w:lvl>
    <w:lvl w:ilvl="6" w:tplc="56C652EC">
      <w:start w:val="1"/>
      <w:numFmt w:val="bullet"/>
      <w:lvlText w:val="•"/>
      <w:lvlJc w:val="left"/>
      <w:pPr>
        <w:ind w:left="6010" w:hanging="700"/>
      </w:pPr>
      <w:rPr>
        <w:rFonts w:hint="default"/>
      </w:rPr>
    </w:lvl>
    <w:lvl w:ilvl="7" w:tplc="A8C4F6F6">
      <w:start w:val="1"/>
      <w:numFmt w:val="bullet"/>
      <w:lvlText w:val="•"/>
      <w:lvlJc w:val="left"/>
      <w:pPr>
        <w:ind w:left="6978" w:hanging="700"/>
      </w:pPr>
      <w:rPr>
        <w:rFonts w:hint="default"/>
      </w:rPr>
    </w:lvl>
    <w:lvl w:ilvl="8" w:tplc="C3ECD338">
      <w:start w:val="1"/>
      <w:numFmt w:val="bullet"/>
      <w:lvlText w:val="•"/>
      <w:lvlJc w:val="left"/>
      <w:pPr>
        <w:ind w:left="7945" w:hanging="700"/>
      </w:pPr>
      <w:rPr>
        <w:rFonts w:hint="default"/>
      </w:rPr>
    </w:lvl>
  </w:abstractNum>
  <w:abstractNum w:abstractNumId="7">
    <w:nsid w:val="38167419"/>
    <w:multiLevelType w:val="hybridMultilevel"/>
    <w:tmpl w:val="89DE7FBC"/>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8">
    <w:nsid w:val="39BB69C8"/>
    <w:multiLevelType w:val="hybridMultilevel"/>
    <w:tmpl w:val="22E27CDC"/>
    <w:lvl w:ilvl="0" w:tplc="FFD42A0A">
      <w:start w:val="4"/>
      <w:numFmt w:val="bullet"/>
      <w:lvlText w:val="-"/>
      <w:lvlJc w:val="left"/>
      <w:pPr>
        <w:ind w:left="720" w:hanging="360"/>
      </w:pPr>
      <w:rPr>
        <w:rFonts w:ascii="Cambria" w:eastAsiaTheme="minorEastAsia"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145331"/>
    <w:multiLevelType w:val="hybridMultilevel"/>
    <w:tmpl w:val="6EA2D954"/>
    <w:lvl w:ilvl="0" w:tplc="FFD42A0A">
      <w:start w:val="4"/>
      <w:numFmt w:val="bullet"/>
      <w:lvlText w:val="-"/>
      <w:lvlJc w:val="left"/>
      <w:pPr>
        <w:ind w:left="720" w:hanging="360"/>
      </w:pPr>
      <w:rPr>
        <w:rFonts w:ascii="Cambria" w:eastAsiaTheme="minorEastAs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C84719"/>
    <w:multiLevelType w:val="hybridMultilevel"/>
    <w:tmpl w:val="D964674C"/>
    <w:lvl w:ilvl="0" w:tplc="FFD42A0A">
      <w:start w:val="4"/>
      <w:numFmt w:val="bullet"/>
      <w:lvlText w:val="-"/>
      <w:lvlJc w:val="left"/>
      <w:pPr>
        <w:ind w:left="1440" w:hanging="360"/>
      </w:pPr>
      <w:rPr>
        <w:rFonts w:ascii="Cambria" w:eastAsiaTheme="minorEastAsia" w:hAnsi="Cambria"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474316CC"/>
    <w:multiLevelType w:val="hybridMultilevel"/>
    <w:tmpl w:val="A454B6B0"/>
    <w:lvl w:ilvl="0" w:tplc="2638A246">
      <w:start w:val="1"/>
      <w:numFmt w:val="lowerLetter"/>
      <w:lvlText w:val="%1)"/>
      <w:lvlJc w:val="left"/>
      <w:pPr>
        <w:ind w:left="374" w:hanging="260"/>
        <w:jc w:val="left"/>
      </w:pPr>
      <w:rPr>
        <w:rFonts w:ascii="Times New Roman" w:eastAsia="Times New Roman" w:hAnsi="Times New Roman" w:hint="default"/>
        <w:i/>
        <w:sz w:val="24"/>
        <w:szCs w:val="24"/>
      </w:rPr>
    </w:lvl>
    <w:lvl w:ilvl="1" w:tplc="01C8D320">
      <w:start w:val="1"/>
      <w:numFmt w:val="bullet"/>
      <w:lvlText w:val="•"/>
      <w:lvlJc w:val="left"/>
      <w:pPr>
        <w:ind w:left="1324" w:hanging="260"/>
      </w:pPr>
      <w:rPr>
        <w:rFonts w:hint="default"/>
      </w:rPr>
    </w:lvl>
    <w:lvl w:ilvl="2" w:tplc="2154EACC">
      <w:start w:val="1"/>
      <w:numFmt w:val="bullet"/>
      <w:lvlText w:val="•"/>
      <w:lvlJc w:val="left"/>
      <w:pPr>
        <w:ind w:left="2275" w:hanging="260"/>
      </w:pPr>
      <w:rPr>
        <w:rFonts w:hint="default"/>
      </w:rPr>
    </w:lvl>
    <w:lvl w:ilvl="3" w:tplc="57DC28DC">
      <w:start w:val="1"/>
      <w:numFmt w:val="bullet"/>
      <w:lvlText w:val="•"/>
      <w:lvlJc w:val="left"/>
      <w:pPr>
        <w:ind w:left="3226" w:hanging="260"/>
      </w:pPr>
      <w:rPr>
        <w:rFonts w:hint="default"/>
      </w:rPr>
    </w:lvl>
    <w:lvl w:ilvl="4" w:tplc="EAA8D016">
      <w:start w:val="1"/>
      <w:numFmt w:val="bullet"/>
      <w:lvlText w:val="•"/>
      <w:lvlJc w:val="left"/>
      <w:pPr>
        <w:ind w:left="4176" w:hanging="260"/>
      </w:pPr>
      <w:rPr>
        <w:rFonts w:hint="default"/>
      </w:rPr>
    </w:lvl>
    <w:lvl w:ilvl="5" w:tplc="891C583A">
      <w:start w:val="1"/>
      <w:numFmt w:val="bullet"/>
      <w:lvlText w:val="•"/>
      <w:lvlJc w:val="left"/>
      <w:pPr>
        <w:ind w:left="5127" w:hanging="260"/>
      </w:pPr>
      <w:rPr>
        <w:rFonts w:hint="default"/>
      </w:rPr>
    </w:lvl>
    <w:lvl w:ilvl="6" w:tplc="1F26401C">
      <w:start w:val="1"/>
      <w:numFmt w:val="bullet"/>
      <w:lvlText w:val="•"/>
      <w:lvlJc w:val="left"/>
      <w:pPr>
        <w:ind w:left="6077" w:hanging="260"/>
      </w:pPr>
      <w:rPr>
        <w:rFonts w:hint="default"/>
      </w:rPr>
    </w:lvl>
    <w:lvl w:ilvl="7" w:tplc="DEC00E1A">
      <w:start w:val="1"/>
      <w:numFmt w:val="bullet"/>
      <w:lvlText w:val="•"/>
      <w:lvlJc w:val="left"/>
      <w:pPr>
        <w:ind w:left="7028" w:hanging="260"/>
      </w:pPr>
      <w:rPr>
        <w:rFonts w:hint="default"/>
      </w:rPr>
    </w:lvl>
    <w:lvl w:ilvl="8" w:tplc="49827456">
      <w:start w:val="1"/>
      <w:numFmt w:val="bullet"/>
      <w:lvlText w:val="•"/>
      <w:lvlJc w:val="left"/>
      <w:pPr>
        <w:ind w:left="7978" w:hanging="260"/>
      </w:pPr>
      <w:rPr>
        <w:rFonts w:hint="default"/>
      </w:rPr>
    </w:lvl>
  </w:abstractNum>
  <w:abstractNum w:abstractNumId="12">
    <w:nsid w:val="49730272"/>
    <w:multiLevelType w:val="hybridMultilevel"/>
    <w:tmpl w:val="66C04F50"/>
    <w:lvl w:ilvl="0" w:tplc="F3F2174E">
      <w:start w:val="1"/>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3C4472"/>
    <w:multiLevelType w:val="hybridMultilevel"/>
    <w:tmpl w:val="7F92AA30"/>
    <w:lvl w:ilvl="0" w:tplc="E80E27A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5FF056F2"/>
    <w:multiLevelType w:val="hybridMultilevel"/>
    <w:tmpl w:val="9FA867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3046345"/>
    <w:multiLevelType w:val="hybridMultilevel"/>
    <w:tmpl w:val="525E7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5A6868"/>
    <w:multiLevelType w:val="hybridMultilevel"/>
    <w:tmpl w:val="53683A26"/>
    <w:lvl w:ilvl="0" w:tplc="BA804BB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BB70879"/>
    <w:multiLevelType w:val="hybridMultilevel"/>
    <w:tmpl w:val="69740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224681"/>
    <w:multiLevelType w:val="hybridMultilevel"/>
    <w:tmpl w:val="F60CD140"/>
    <w:lvl w:ilvl="0" w:tplc="BA804BB2">
      <w:numFmt w:val="bullet"/>
      <w:lvlText w:val="-"/>
      <w:lvlJc w:val="left"/>
      <w:pPr>
        <w:ind w:left="708" w:hanging="360"/>
      </w:pPr>
      <w:rPr>
        <w:rFonts w:ascii="Calibri" w:eastAsia="Calibri" w:hAnsi="Calibri" w:cs="Times New Roman" w:hint="default"/>
      </w:rPr>
    </w:lvl>
    <w:lvl w:ilvl="1" w:tplc="04100003">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19">
    <w:nsid w:val="7F361312"/>
    <w:multiLevelType w:val="hybridMultilevel"/>
    <w:tmpl w:val="7F14AA18"/>
    <w:lvl w:ilvl="0" w:tplc="AD2E5C9E">
      <w:start w:val="10"/>
      <w:numFmt w:val="bullet"/>
      <w:lvlText w:val=""/>
      <w:lvlJc w:val="left"/>
      <w:pPr>
        <w:ind w:left="1060" w:hanging="70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
  </w:num>
  <w:num w:numId="4">
    <w:abstractNumId w:val="7"/>
  </w:num>
  <w:num w:numId="5">
    <w:abstractNumId w:val="6"/>
  </w:num>
  <w:num w:numId="6">
    <w:abstractNumId w:val="11"/>
  </w:num>
  <w:num w:numId="7">
    <w:abstractNumId w:val="5"/>
  </w:num>
  <w:num w:numId="8">
    <w:abstractNumId w:val="4"/>
  </w:num>
  <w:num w:numId="9">
    <w:abstractNumId w:val="14"/>
  </w:num>
  <w:num w:numId="10">
    <w:abstractNumId w:val="12"/>
  </w:num>
  <w:num w:numId="11">
    <w:abstractNumId w:val="3"/>
  </w:num>
  <w:num w:numId="12">
    <w:abstractNumId w:val="8"/>
  </w:num>
  <w:num w:numId="13">
    <w:abstractNumId w:val="10"/>
  </w:num>
  <w:num w:numId="14">
    <w:abstractNumId w:val="9"/>
  </w:num>
  <w:num w:numId="15">
    <w:abstractNumId w:val="15"/>
  </w:num>
  <w:num w:numId="16">
    <w:abstractNumId w:val="17"/>
  </w:num>
  <w:num w:numId="17">
    <w:abstractNumId w:val="18"/>
  </w:num>
  <w:num w:numId="18">
    <w:abstractNumId w:val="0"/>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A4"/>
    <w:rsid w:val="000173F8"/>
    <w:rsid w:val="00020F46"/>
    <w:rsid w:val="00037B14"/>
    <w:rsid w:val="000428A7"/>
    <w:rsid w:val="000519D2"/>
    <w:rsid w:val="000535AC"/>
    <w:rsid w:val="000A70BC"/>
    <w:rsid w:val="000B3F7E"/>
    <w:rsid w:val="000E3A84"/>
    <w:rsid w:val="00114A70"/>
    <w:rsid w:val="0012006E"/>
    <w:rsid w:val="001209B5"/>
    <w:rsid w:val="001518E6"/>
    <w:rsid w:val="00160163"/>
    <w:rsid w:val="001717A7"/>
    <w:rsid w:val="00180AF6"/>
    <w:rsid w:val="001814E0"/>
    <w:rsid w:val="00185DCC"/>
    <w:rsid w:val="00192A6C"/>
    <w:rsid w:val="001D3B1F"/>
    <w:rsid w:val="001F31D8"/>
    <w:rsid w:val="002372E0"/>
    <w:rsid w:val="00241310"/>
    <w:rsid w:val="00241330"/>
    <w:rsid w:val="00284556"/>
    <w:rsid w:val="0029000E"/>
    <w:rsid w:val="002A3218"/>
    <w:rsid w:val="002D2A6E"/>
    <w:rsid w:val="003126B8"/>
    <w:rsid w:val="0031689E"/>
    <w:rsid w:val="00317D21"/>
    <w:rsid w:val="00357245"/>
    <w:rsid w:val="0037328D"/>
    <w:rsid w:val="00375D83"/>
    <w:rsid w:val="00376E2E"/>
    <w:rsid w:val="0037718A"/>
    <w:rsid w:val="00381F7B"/>
    <w:rsid w:val="00382DFD"/>
    <w:rsid w:val="00382E7C"/>
    <w:rsid w:val="003839FC"/>
    <w:rsid w:val="00390726"/>
    <w:rsid w:val="003A088C"/>
    <w:rsid w:val="003B57BA"/>
    <w:rsid w:val="003C6ECA"/>
    <w:rsid w:val="003D30DA"/>
    <w:rsid w:val="003E5733"/>
    <w:rsid w:val="00462ECA"/>
    <w:rsid w:val="00464288"/>
    <w:rsid w:val="004840EF"/>
    <w:rsid w:val="00496594"/>
    <w:rsid w:val="004D474B"/>
    <w:rsid w:val="005120CA"/>
    <w:rsid w:val="00541A05"/>
    <w:rsid w:val="00543F91"/>
    <w:rsid w:val="005540BB"/>
    <w:rsid w:val="005726A5"/>
    <w:rsid w:val="005C0B7D"/>
    <w:rsid w:val="005D78BA"/>
    <w:rsid w:val="005F0F3B"/>
    <w:rsid w:val="006114EA"/>
    <w:rsid w:val="00613D66"/>
    <w:rsid w:val="00621D2D"/>
    <w:rsid w:val="00632B16"/>
    <w:rsid w:val="00636DBD"/>
    <w:rsid w:val="00666D35"/>
    <w:rsid w:val="00667388"/>
    <w:rsid w:val="006702E8"/>
    <w:rsid w:val="00672E9E"/>
    <w:rsid w:val="0068017C"/>
    <w:rsid w:val="00685F13"/>
    <w:rsid w:val="006976C1"/>
    <w:rsid w:val="006A0A1F"/>
    <w:rsid w:val="006B5F56"/>
    <w:rsid w:val="006C3B0E"/>
    <w:rsid w:val="00706649"/>
    <w:rsid w:val="0071442D"/>
    <w:rsid w:val="0072612A"/>
    <w:rsid w:val="0076454C"/>
    <w:rsid w:val="0076710A"/>
    <w:rsid w:val="00776D77"/>
    <w:rsid w:val="0078647B"/>
    <w:rsid w:val="00786F69"/>
    <w:rsid w:val="00797570"/>
    <w:rsid w:val="007A6456"/>
    <w:rsid w:val="007B1D83"/>
    <w:rsid w:val="007C048E"/>
    <w:rsid w:val="007C13BC"/>
    <w:rsid w:val="007C4033"/>
    <w:rsid w:val="007C6091"/>
    <w:rsid w:val="007F664C"/>
    <w:rsid w:val="007F7D6C"/>
    <w:rsid w:val="008229B6"/>
    <w:rsid w:val="008253E1"/>
    <w:rsid w:val="00863725"/>
    <w:rsid w:val="00866EBD"/>
    <w:rsid w:val="008816FC"/>
    <w:rsid w:val="00892FB3"/>
    <w:rsid w:val="008B35EC"/>
    <w:rsid w:val="008E108F"/>
    <w:rsid w:val="0090149F"/>
    <w:rsid w:val="00927FE6"/>
    <w:rsid w:val="00932E7D"/>
    <w:rsid w:val="00947F46"/>
    <w:rsid w:val="00977D05"/>
    <w:rsid w:val="009D3420"/>
    <w:rsid w:val="009E3948"/>
    <w:rsid w:val="00A2019D"/>
    <w:rsid w:val="00A42819"/>
    <w:rsid w:val="00A51962"/>
    <w:rsid w:val="00A56FA4"/>
    <w:rsid w:val="00A72648"/>
    <w:rsid w:val="00A92FA9"/>
    <w:rsid w:val="00AB31F3"/>
    <w:rsid w:val="00AC2D5A"/>
    <w:rsid w:val="00AC7AC4"/>
    <w:rsid w:val="00AF1249"/>
    <w:rsid w:val="00AF786A"/>
    <w:rsid w:val="00B10B02"/>
    <w:rsid w:val="00B13463"/>
    <w:rsid w:val="00B47E26"/>
    <w:rsid w:val="00B54090"/>
    <w:rsid w:val="00B56F9A"/>
    <w:rsid w:val="00B61DCE"/>
    <w:rsid w:val="00B71E39"/>
    <w:rsid w:val="00B723D5"/>
    <w:rsid w:val="00BC4FBC"/>
    <w:rsid w:val="00BD2C33"/>
    <w:rsid w:val="00BE779B"/>
    <w:rsid w:val="00C047C6"/>
    <w:rsid w:val="00C206EF"/>
    <w:rsid w:val="00C21A18"/>
    <w:rsid w:val="00C22240"/>
    <w:rsid w:val="00C54251"/>
    <w:rsid w:val="00C63A10"/>
    <w:rsid w:val="00C739B6"/>
    <w:rsid w:val="00C843E5"/>
    <w:rsid w:val="00CA6042"/>
    <w:rsid w:val="00CA6143"/>
    <w:rsid w:val="00CB0E02"/>
    <w:rsid w:val="00D332F4"/>
    <w:rsid w:val="00D3789E"/>
    <w:rsid w:val="00D41867"/>
    <w:rsid w:val="00D6157C"/>
    <w:rsid w:val="00DA469C"/>
    <w:rsid w:val="00DC3CB2"/>
    <w:rsid w:val="00E00CE3"/>
    <w:rsid w:val="00E3777E"/>
    <w:rsid w:val="00E4239F"/>
    <w:rsid w:val="00E50FA4"/>
    <w:rsid w:val="00E74532"/>
    <w:rsid w:val="00E7779F"/>
    <w:rsid w:val="00E91357"/>
    <w:rsid w:val="00E93D07"/>
    <w:rsid w:val="00EB5B62"/>
    <w:rsid w:val="00EF4D6B"/>
    <w:rsid w:val="00F15346"/>
    <w:rsid w:val="00F1799F"/>
    <w:rsid w:val="00F41193"/>
    <w:rsid w:val="00F46AA6"/>
    <w:rsid w:val="00F51EC9"/>
    <w:rsid w:val="00F7021A"/>
    <w:rsid w:val="00F8757D"/>
    <w:rsid w:val="00F914D6"/>
    <w:rsid w:val="00FA654E"/>
    <w:rsid w:val="00FD0FC4"/>
    <w:rsid w:val="00FE720A"/>
    <w:rsid w:val="00FE7E0A"/>
    <w:rsid w:val="00FF7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3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B54090"/>
    <w:pPr>
      <w:widowControl w:val="0"/>
      <w:spacing w:after="0" w:line="240" w:lineRule="auto"/>
      <w:ind w:left="114"/>
      <w:outlineLvl w:val="0"/>
    </w:pPr>
    <w:rPr>
      <w:rFonts w:ascii="Times New Roman" w:eastAsia="Times New Roman" w:hAnsi="Times New Roman"/>
      <w:b/>
      <w:bCs/>
      <w:sz w:val="24"/>
      <w:szCs w:val="24"/>
      <w:u w:val="single"/>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aliases w:val="Normal bullet 2,Bullet list,Numbered List,List Paragraph1"/>
    <w:basedOn w:val="Normale"/>
    <w:link w:val="Elencoacolori-Colore1Carattere"/>
    <w:uiPriority w:val="34"/>
    <w:qFormat/>
    <w:rsid w:val="00381F7B"/>
    <w:pPr>
      <w:ind w:left="720"/>
      <w:contextualSpacing/>
    </w:pPr>
    <w:rPr>
      <w:rFonts w:ascii="Calibri" w:eastAsia="Calibri" w:hAnsi="Calibri" w:cs="Times New Roman"/>
    </w:rPr>
  </w:style>
  <w:style w:type="character" w:customStyle="1" w:styleId="Elencoacolori-Colore1Carattere">
    <w:name w:val="Elenco a colori - Colore 1 Carattere"/>
    <w:aliases w:val="Normal bullet 2 Carattere,Bullet list Carattere,Numbered List Carattere,List Paragraph1 Carattere"/>
    <w:link w:val="Elencoacolori-Colore11"/>
    <w:uiPriority w:val="34"/>
    <w:rsid w:val="00381F7B"/>
    <w:rPr>
      <w:rFonts w:ascii="Calibri" w:eastAsia="Calibri" w:hAnsi="Calibri" w:cs="Times New Roman"/>
    </w:rPr>
  </w:style>
  <w:style w:type="paragraph" w:styleId="Paragrafoelenco">
    <w:name w:val="List Paragraph"/>
    <w:basedOn w:val="Normale"/>
    <w:uiPriority w:val="34"/>
    <w:qFormat/>
    <w:rsid w:val="006976C1"/>
    <w:pPr>
      <w:ind w:left="720"/>
      <w:contextualSpacing/>
    </w:pPr>
  </w:style>
  <w:style w:type="paragraph" w:styleId="Pidipagina">
    <w:name w:val="footer"/>
    <w:basedOn w:val="Normale"/>
    <w:link w:val="PidipaginaCarattere"/>
    <w:uiPriority w:val="99"/>
    <w:unhideWhenUsed/>
    <w:rsid w:val="00375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5D83"/>
  </w:style>
  <w:style w:type="character" w:styleId="Numeropagina">
    <w:name w:val="page number"/>
    <w:basedOn w:val="Carpredefinitoparagrafo"/>
    <w:uiPriority w:val="99"/>
    <w:semiHidden/>
    <w:unhideWhenUsed/>
    <w:rsid w:val="00375D83"/>
  </w:style>
  <w:style w:type="paragraph" w:styleId="Mappadocumento">
    <w:name w:val="Document Map"/>
    <w:basedOn w:val="Normale"/>
    <w:link w:val="MappadocumentoCarattere"/>
    <w:uiPriority w:val="99"/>
    <w:semiHidden/>
    <w:unhideWhenUsed/>
    <w:rsid w:val="005726A5"/>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5726A5"/>
    <w:rPr>
      <w:rFonts w:ascii="Times New Roman" w:hAnsi="Times New Roman" w:cs="Times New Roman"/>
      <w:sz w:val="24"/>
      <w:szCs w:val="24"/>
    </w:rPr>
  </w:style>
  <w:style w:type="paragraph" w:styleId="Testonotaapidipagina">
    <w:name w:val="footnote text"/>
    <w:basedOn w:val="Normale"/>
    <w:link w:val="TestonotaapidipaginaCarattere"/>
    <w:uiPriority w:val="99"/>
    <w:unhideWhenUsed/>
    <w:rsid w:val="00621D2D"/>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621D2D"/>
    <w:rPr>
      <w:sz w:val="24"/>
      <w:szCs w:val="24"/>
    </w:rPr>
  </w:style>
  <w:style w:type="character" w:styleId="Rimandonotaapidipagina">
    <w:name w:val="footnote reference"/>
    <w:basedOn w:val="Carpredefinitoparagrafo"/>
    <w:uiPriority w:val="99"/>
    <w:unhideWhenUsed/>
    <w:rsid w:val="00621D2D"/>
    <w:rPr>
      <w:vertAlign w:val="superscript"/>
    </w:rPr>
  </w:style>
  <w:style w:type="character" w:customStyle="1" w:styleId="Titolo1Carattere">
    <w:name w:val="Titolo 1 Carattere"/>
    <w:basedOn w:val="Carpredefinitoparagrafo"/>
    <w:link w:val="Titolo1"/>
    <w:uiPriority w:val="1"/>
    <w:rsid w:val="00B54090"/>
    <w:rPr>
      <w:rFonts w:ascii="Times New Roman" w:eastAsia="Times New Roman" w:hAnsi="Times New Roman"/>
      <w:b/>
      <w:bCs/>
      <w:sz w:val="24"/>
      <w:szCs w:val="24"/>
      <w:u w:val="single"/>
      <w:lang w:val="en-US" w:eastAsia="en-US"/>
    </w:rPr>
  </w:style>
  <w:style w:type="paragraph" w:styleId="Intestazione">
    <w:name w:val="header"/>
    <w:basedOn w:val="Normale"/>
    <w:link w:val="IntestazioneCarattere"/>
    <w:uiPriority w:val="99"/>
    <w:unhideWhenUsed/>
    <w:rsid w:val="00B540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090"/>
  </w:style>
  <w:style w:type="paragraph" w:styleId="Testofumetto">
    <w:name w:val="Balloon Text"/>
    <w:basedOn w:val="Normale"/>
    <w:link w:val="TestofumettoCarattere"/>
    <w:uiPriority w:val="99"/>
    <w:semiHidden/>
    <w:unhideWhenUsed/>
    <w:rsid w:val="003C6E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B54090"/>
    <w:pPr>
      <w:widowControl w:val="0"/>
      <w:spacing w:after="0" w:line="240" w:lineRule="auto"/>
      <w:ind w:left="114"/>
      <w:outlineLvl w:val="0"/>
    </w:pPr>
    <w:rPr>
      <w:rFonts w:ascii="Times New Roman" w:eastAsia="Times New Roman" w:hAnsi="Times New Roman"/>
      <w:b/>
      <w:bCs/>
      <w:sz w:val="24"/>
      <w:szCs w:val="24"/>
      <w:u w:val="single"/>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aliases w:val="Normal bullet 2,Bullet list,Numbered List,List Paragraph1"/>
    <w:basedOn w:val="Normale"/>
    <w:link w:val="Elencoacolori-Colore1Carattere"/>
    <w:uiPriority w:val="34"/>
    <w:qFormat/>
    <w:rsid w:val="00381F7B"/>
    <w:pPr>
      <w:ind w:left="720"/>
      <w:contextualSpacing/>
    </w:pPr>
    <w:rPr>
      <w:rFonts w:ascii="Calibri" w:eastAsia="Calibri" w:hAnsi="Calibri" w:cs="Times New Roman"/>
    </w:rPr>
  </w:style>
  <w:style w:type="character" w:customStyle="1" w:styleId="Elencoacolori-Colore1Carattere">
    <w:name w:val="Elenco a colori - Colore 1 Carattere"/>
    <w:aliases w:val="Normal bullet 2 Carattere,Bullet list Carattere,Numbered List Carattere,List Paragraph1 Carattere"/>
    <w:link w:val="Elencoacolori-Colore11"/>
    <w:uiPriority w:val="34"/>
    <w:rsid w:val="00381F7B"/>
    <w:rPr>
      <w:rFonts w:ascii="Calibri" w:eastAsia="Calibri" w:hAnsi="Calibri" w:cs="Times New Roman"/>
    </w:rPr>
  </w:style>
  <w:style w:type="paragraph" w:styleId="Paragrafoelenco">
    <w:name w:val="List Paragraph"/>
    <w:basedOn w:val="Normale"/>
    <w:uiPriority w:val="34"/>
    <w:qFormat/>
    <w:rsid w:val="006976C1"/>
    <w:pPr>
      <w:ind w:left="720"/>
      <w:contextualSpacing/>
    </w:pPr>
  </w:style>
  <w:style w:type="paragraph" w:styleId="Pidipagina">
    <w:name w:val="footer"/>
    <w:basedOn w:val="Normale"/>
    <w:link w:val="PidipaginaCarattere"/>
    <w:uiPriority w:val="99"/>
    <w:unhideWhenUsed/>
    <w:rsid w:val="00375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5D83"/>
  </w:style>
  <w:style w:type="character" w:styleId="Numeropagina">
    <w:name w:val="page number"/>
    <w:basedOn w:val="Carpredefinitoparagrafo"/>
    <w:uiPriority w:val="99"/>
    <w:semiHidden/>
    <w:unhideWhenUsed/>
    <w:rsid w:val="00375D83"/>
  </w:style>
  <w:style w:type="paragraph" w:styleId="Mappadocumento">
    <w:name w:val="Document Map"/>
    <w:basedOn w:val="Normale"/>
    <w:link w:val="MappadocumentoCarattere"/>
    <w:uiPriority w:val="99"/>
    <w:semiHidden/>
    <w:unhideWhenUsed/>
    <w:rsid w:val="005726A5"/>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5726A5"/>
    <w:rPr>
      <w:rFonts w:ascii="Times New Roman" w:hAnsi="Times New Roman" w:cs="Times New Roman"/>
      <w:sz w:val="24"/>
      <w:szCs w:val="24"/>
    </w:rPr>
  </w:style>
  <w:style w:type="paragraph" w:styleId="Testonotaapidipagina">
    <w:name w:val="footnote text"/>
    <w:basedOn w:val="Normale"/>
    <w:link w:val="TestonotaapidipaginaCarattere"/>
    <w:uiPriority w:val="99"/>
    <w:unhideWhenUsed/>
    <w:rsid w:val="00621D2D"/>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621D2D"/>
    <w:rPr>
      <w:sz w:val="24"/>
      <w:szCs w:val="24"/>
    </w:rPr>
  </w:style>
  <w:style w:type="character" w:styleId="Rimandonotaapidipagina">
    <w:name w:val="footnote reference"/>
    <w:basedOn w:val="Carpredefinitoparagrafo"/>
    <w:uiPriority w:val="99"/>
    <w:unhideWhenUsed/>
    <w:rsid w:val="00621D2D"/>
    <w:rPr>
      <w:vertAlign w:val="superscript"/>
    </w:rPr>
  </w:style>
  <w:style w:type="character" w:customStyle="1" w:styleId="Titolo1Carattere">
    <w:name w:val="Titolo 1 Carattere"/>
    <w:basedOn w:val="Carpredefinitoparagrafo"/>
    <w:link w:val="Titolo1"/>
    <w:uiPriority w:val="1"/>
    <w:rsid w:val="00B54090"/>
    <w:rPr>
      <w:rFonts w:ascii="Times New Roman" w:eastAsia="Times New Roman" w:hAnsi="Times New Roman"/>
      <w:b/>
      <w:bCs/>
      <w:sz w:val="24"/>
      <w:szCs w:val="24"/>
      <w:u w:val="single"/>
      <w:lang w:val="en-US" w:eastAsia="en-US"/>
    </w:rPr>
  </w:style>
  <w:style w:type="paragraph" w:styleId="Intestazione">
    <w:name w:val="header"/>
    <w:basedOn w:val="Normale"/>
    <w:link w:val="IntestazioneCarattere"/>
    <w:uiPriority w:val="99"/>
    <w:unhideWhenUsed/>
    <w:rsid w:val="00B540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090"/>
  </w:style>
  <w:style w:type="paragraph" w:styleId="Testofumetto">
    <w:name w:val="Balloon Text"/>
    <w:basedOn w:val="Normale"/>
    <w:link w:val="TestofumettoCarattere"/>
    <w:uiPriority w:val="99"/>
    <w:semiHidden/>
    <w:unhideWhenUsed/>
    <w:rsid w:val="003C6E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6266">
      <w:bodyDiv w:val="1"/>
      <w:marLeft w:val="0"/>
      <w:marRight w:val="0"/>
      <w:marTop w:val="0"/>
      <w:marBottom w:val="0"/>
      <w:divBdr>
        <w:top w:val="none" w:sz="0" w:space="0" w:color="auto"/>
        <w:left w:val="none" w:sz="0" w:space="0" w:color="auto"/>
        <w:bottom w:val="none" w:sz="0" w:space="0" w:color="auto"/>
        <w:right w:val="none" w:sz="0" w:space="0" w:color="auto"/>
      </w:divBdr>
    </w:div>
    <w:div w:id="6399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025E-441F-4616-B33A-013D6F20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6</Pages>
  <Words>2114</Words>
  <Characters>11911</Characters>
  <Application>Microsoft Office Word</Application>
  <DocSecurity>0</DocSecurity>
  <Lines>304</Lines>
  <Paragraphs>136</Paragraphs>
  <ScaleCrop>false</ScaleCrop>
  <HeadingPairs>
    <vt:vector size="4" baseType="variant">
      <vt:variant>
        <vt:lpstr>Titolo</vt:lpstr>
      </vt:variant>
      <vt:variant>
        <vt:i4>1</vt:i4>
      </vt:variant>
      <vt:variant>
        <vt:lpstr>Intestazioni</vt:lpstr>
      </vt:variant>
      <vt:variant>
        <vt:i4>15</vt:i4>
      </vt:variant>
    </vt:vector>
  </HeadingPairs>
  <TitlesOfParts>
    <vt:vector size="16" baseType="lpstr">
      <vt:lpstr/>
      <vt:lpstr>PIANO DI RAFFORZAMENTO AMMINISTRATIVO (PRA)</vt:lpstr>
      <vt:lpstr>DELLA REGIONE DEL VENETO</vt:lpstr>
      <vt:lpstr>Relazione qualitativa al 1  quadrimestre – dati al 30 aprile 2017  </vt:lpstr>
      <vt:lpstr>Introduzione	</vt:lpstr>
      <vt:lpstr/>
      <vt:lpstr>Sezione 1 – sintesi generale dell’evoluzione complessiva del PRA e dei suoi effe</vt:lpstr>
      <vt:lpstr>L’attuazione della prima fase del PRA del Veneto volge al suo naturale termine b</vt:lpstr>
      <vt:lpstr/>
      <vt:lpstr/>
      <vt:lpstr>Il sistema realizzato, per quanto non ancora del tutto completato in tutte le pa</vt:lpstr>
      <vt:lpstr/>
      <vt:lpstr/>
      <vt:lpstr>4.3 - Lo stato della valutazione indipendente del PRA (quando attivata)</vt:lpstr>
      <vt:lpstr/>
      <vt:lpstr>Allegati</vt:lpstr>
    </vt:vector>
  </TitlesOfParts>
  <Manager/>
  <Company/>
  <LinksUpToDate>false</LinksUpToDate>
  <CharactersWithSpaces>13916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Centurelli</dc:creator>
  <cp:keywords/>
  <dc:description/>
  <cp:lastModifiedBy>Administrator</cp:lastModifiedBy>
  <cp:revision>63</cp:revision>
  <cp:lastPrinted>2017-05-30T15:09:00Z</cp:lastPrinted>
  <dcterms:created xsi:type="dcterms:W3CDTF">2017-05-14T03:27:00Z</dcterms:created>
  <dcterms:modified xsi:type="dcterms:W3CDTF">2017-05-31T09:28:00Z</dcterms:modified>
  <cp:category/>
</cp:coreProperties>
</file>